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2C_1224/2013 vom 12. Dezember 2014</w:t>
      </w:r>
    </w:p>
    <w:p>
      <w:r>
        <w:t>Bundesgericht, 2014-12-12, FR</w:t>
      </w:r>
    </w:p>
    <w:p>
      <w:r>
        <w:rPr>
          <w:b/>
        </w:rPr>
        <w:t xml:space="preserve">Quelle: </w:t>
      </w:r>
      <w:r>
        <w:t>https://mcp.opencaselaw.ch/entscheid/bger_2C_1224_2013</w:t>
      </w:r>
    </w:p>
    <w:p>
      <w:r>
        <w:t>FR: TF 2C_1224/2013 du 12 décembre 2014</w:t>
      </w:r>
    </w:p>
    <w:p>
      <w:r>
        <w:t>IT: TF 2C_1224/2013 del 12 dicembre 2014</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suffit, sous l'angle de la recevabilité, qu'il existe un droit potentiel à l'autorisation pour que cette clause d'exclusion ne s'applique pas (cf. ATF 136 II 177 consid. 1.1 p. 179; arrêt 2C_14/2014 du 27 août 2014 non publié in ATF 140 II 345 ). En l'espèce, le recourant est marié à une ressortissante suisse qui réside en Suisse, dont il a un enfant mineur suisse qui vit avec sa mère. Il s'ensuit que le recourant peut potentiellement se prévaloir d'un droit de séjourner en Suisse en vertu de 42 al. 1 de la loi fédérale sur les étrangers (LEtr; RS 142.20), ainsi que de l' art. 8 CEDH . Le recours échappe ainsi à l'exception de l' art. 83 let . c ch. 2 LTF, de sorte que la voie du recours en matière de droit public est ouverte.</w:t>
      </w:r>
    </w:p>
    <w:p>
      <w:r>
        <w:rPr>
          <w:b/>
        </w:rPr>
        <w:t>E. 1.2</w:t>
      </w:r>
    </w:p>
    <w:p>
      <w:r>
        <w:t>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et qui a de ce fait qualité pour recourir ( art. 89 al. 1 LTF ). Il convient donc d'entrer en matière.</w:t>
      </w:r>
    </w:p>
    <w:p>
      <w:r>
        <w:rPr>
          <w:b/>
        </w:rPr>
        <w:t>E. 2.1</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c'est-à-dire s'il a été expressément soulevé et exposé de façon claire et circonstanciée (arrêt ATF 135 III 232 consid. 1.2 p. 234; 133 II 249 consid. 1.4.2 p. 254). L'acte de recours doit ainsi, sous peine d'irrecevabilité, contenir un exposé succinct des droits et principes constitutionnels violés et préciser en quoi consiste la violation ( ATF 136 II 304 consid. 2.5 p. 314; 135 II 243 consid. 2 p. 248).</w:t>
      </w:r>
    </w:p>
    <w:p>
      <w:r>
        <w:rPr>
          <w:b/>
        </w:rPr>
        <w:t>E. 2.2</w:t>
      </w:r>
    </w:p>
    <w:p>
      <w:r>
        <w:t>Saisi d'un recours en matière de droit public, le Tribunal fédéral conduit son raisonnement en se fondant sur les faits constatés par l'autorité précédente ( art. 105 al. 1 LTF ), à moins que ceux-ci n'aient été établis de façon manifestement inexacte - c'est-à-dire arbitrairement ( ATF 140 III 264 consid. 2.3 p. 266; 137 III 226 consid. 4.2 p. 234) - ou en violation du droit au sens de l' art. 95 LTF (art. 105 al. LTF). D'une manière générale, la correction du vice doit être susceptible d'influer sur le sort de la cause (art. 97 al. 1 in fine LTF). Le recourant doit expliquer de manière circonstanciée ( ATF 139 II 404 consid. 10.1 p. 445; 136 II 101 consid. 3, p. 105), dans une argumentation répondant aux exigences de l' art. 106 al. 2 LTF (cf. ATF 138 I 171 consid. 1.4 p. 176), en quoi les conditions d'une exception prévue par l' art. 105 al. 2 LTF seraient réalisées, faute de quoi il n'est pas possible de tenir compte d'un état de fait qui diverge de celui qui est contenu dans l'acte attaqué ( ATF 136 III 552 consid. 4.2 p. 560; 135 V 2 consid. 1.3; 134 I 140 consid. 5.4). En outre, aucun fait nouveau ni preuve nouvelle ne peut être présenté à moins de résulter de la décision de l'autorité précédente ( art. 99 al. 1 LTF ).</w:t>
      </w:r>
    </w:p>
    <w:p>
      <w:r>
        <w:rPr>
          <w:b/>
        </w:rPr>
        <w:t>E. 3.1</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Le Tribunal fédéral n'entre pas en matière sur des critiques de type appellatoire portant sur l'état de fait ou sur l'appréciation des preuves (cf. ATF 140 III 264 consid. 2.3 p. 266; 137 I 58 consid. 4.1.2 p. 62; 137 II 353 consid. 5.1 p. 356; 136 II 101 consid. 3 p. 104).</w:t>
      </w:r>
    </w:p>
    <w:p>
      <w:r>
        <w:rPr>
          <w:b/>
        </w:rPr>
        <w:t>E. 3.2</w:t>
      </w:r>
    </w:p>
    <w:p>
      <w:r>
        <w:t>En l'espèce, le recourant consacre, sous le titre "Faits", plus de la moitié de son mémoire de recours à la présentation de sa propre version des événements, sans indiquer en quoi les faits constatés par le Tribunal cantonal seraient manifestement inexacts ou arbitraires. La Cour de céans n'en tiendra donc pas compte. Par ailleurs, le recourant reproche aux juges cantonaux d'avoir procédé à une constatation inexacte et incomplète des faits en relation avec les problèmes de santé de A.________. Il n'invoque toutefois pas l'arbitraire ni, a fortiori, ne démontre en quoi les juges cantonaux auraient versé dans l'arbitraire à cet égard. Son grief ne répond pas aux exigences de l' art. 106 al. 2 LTF , de sorte qu'il est irrecevable.</w:t>
      </w:r>
    </w:p>
    <w:p>
      <w:r>
        <w:rPr>
          <w:b/>
        </w:rPr>
        <w:t>E. 4</w:t>
      </w:r>
    </w:p>
    <w:p>
      <w:r>
        <w:t>Le Tribunal cantonal a traité la demande du recourant en tant que requête de réexamen de la décision initiale du 2 mai 2005 et a estimé que, faute de faits nouveaux, il n'y avait pas lieu d'entrer en matière sur celle-ci. Le recourant soutient que l'arrêt attaqué viole l' art. 29 Cst. sur ce point.</w:t>
      </w:r>
    </w:p>
    <w:p>
      <w:r>
        <w:rPr>
          <w:b/>
        </w:rPr>
        <w:t>E. 4.1</w:t>
      </w:r>
    </w:p>
    <w:p>
      <w:r>
        <w:t>Les autorités administratives sont tenues de réexaminer leurs décisions si une disposition légale expresse ou si une pratique administrative constante les y oblige (arrêt 2C_1010/2011 du 31 janvier 2012 consid. 2.2). Tel est le cas de l'art. 64 al. 2 de la loi vaudoise sur la procédure administrative (RSV 173.36) appliqué par les juges cantonaux, qui traite des motifs de réexamen des décisions et qui dispose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w:t>
      </w:r>
    </w:p>
    <w:p>
      <w:r>
        <w:t>La jurisprudence a, en outre, déduit de l' 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 ATF 124 II 1 consid. 3a p. 6; arrêts 2C_225/2014 du 20 mars 2014 consid. 5.1; 2C_125/2014 du 12 février 2014 consid. 3.1). Le réexamen de décisions entrées en force ne saurait toutefois servir à remettre sans cesse en cause des décisions exécutoires ou à détourner les délais prévus pour les voies de droit ordinaires ( ATF 136 II 177 consid. 2.1 p. 181; arrêts 2C_125/2014 du 12 février 2014 consid. 3.1; 2C_172/2013 du 21 juin 2013 consid. 4.1; 2C_796/2012 du 8 mars 2013 consid. 3.1).</w:t>
      </w:r>
    </w:p>
    <w:p>
      <w:r>
        <w:rPr>
          <w:b/>
        </w:rPr>
        <w:t>E. 4.2</w:t>
      </w:r>
    </w:p>
    <w:p>
      <w:r>
        <w:t>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w:t>
      </w:r>
    </w:p>
    <w:p>
      <w:r>
        <w:t>nouvelle demande d'autorisation (arrêt 2C_876/2013 du 18 novembre 2013 consid. 3.1). Si cette demande est accordée, cela n'implique pas la renaissance de l'autorisation caduque, mais la naissance d'une nouvelle autorisation, octroyée parce que les conditions sont remplies au moment où la demande a été formulée (cf. arrêt 2C_876/2013 du 18 novembre 2013 consid. 3.1 et 3.7; 2C_1170/2013 du 24 mai 2013 consid. 3.3). L'on ne se trouve pas, dans ce contexte, dans une situation de réexamen au sens propre du terme (arrêt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 2C_876/2013 du 18 novembre 2013 consid. 3.1).</w:t>
      </w:r>
    </w:p>
    <w:p>
      <w:r>
        <w:rPr>
          <w:b/>
        </w:rPr>
        <w:t>E. 5</w:t>
      </w:r>
    </w:p>
    <w:p>
      <w:r>
        <w:t>En l'espèce, le recourant a potentiellement droit à obtenir une (nouvelle) autorisation de séjour en vertu des règles sur le droit au regroupement familial, son épouse étant de nationalité suisse et résidente suisse. Se pose alors la question de savoir si, au moment de sa demande du 19 juillet 2013, les autorités cantonales étaient en droit de ne pas entrer en matière sur la demande du recourant qui fait l'objet de la présente procédure au motif qu'il avait déjà formulé auparavant d'autres demandes et qu'il n'y avait depuis lors aucun fait nouveau.</w:t>
      </w:r>
    </w:p>
    <w:p>
      <w:r>
        <w:rPr>
          <w:b/>
        </w:rPr>
        <w:t>E. 5.1</w:t>
      </w:r>
    </w:p>
    <w:p>
      <w:r>
        <w:t>Pour les étrangers qui, comme le recourant, sont soumis à la loi fédérale sur les étrangers, le droit au regroupement familial est réglé aux art. 42 ss LEtr. Selon l'art. 42 al. 1 LEtr, le conjoint d'un ressortissant suisse a le droit à l'octroi d'une autorisation de séjour et à la prolongation de sa durée de validité à condition de vivre en ménage commun avec lui. Ce droit s'éteint toutefois, en vertu de l'art. 51 al. 1 let. b LEtr, s'il existe un motif de révocation au sens de l'art. 63 LEtr. Tel est notamment le cas si l'étranger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 ATF 139 I 16 consid. 2.1 p. 18; 139 I 31 consid. 2.1 p. 32; 135 II 377 consid. 4.2 et 4.5 p. 381 et 383).</w:t>
      </w:r>
    </w:p>
    <w:p>
      <w:r>
        <w:rPr>
          <w:b/>
        </w:rPr>
        <w:t>E. 5.1.1</w:t>
      </w:r>
    </w:p>
    <w:p>
      <w:r>
        <w:t>L'existence d'une condamnation pénale ne peut en principe pas faire indéfiniment échec à l'examen d'une (nouvelle) demande d'autorisation de séjour (arrêts 2C_953/2013 du 16 septembre 2014 consid. 3.3; 2C_1163/2013 du 8 août 2014 consid. 4.2; 2C_1170/2013 du 24 mai 2013 consid. 3.3; 2C_817/21012 du 19 février 2013 consid. 3.2.1; 2C_36/2009 du 20 octobre 2009 consid. 3.2). Le refus d'accorder une autorisation de séjour se justifie s'il est conforme au principe de proportionnalité (art. 96 LEtr; cf. arrêts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(arrêts 2C_1170/2013 consid. 3.3; 2C_964/2010 du 5 décembre 2011 consid. 3.3;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(arrêts 2C_46/2014 du 15 septembre 2014 consid. 6.4.1; 2C_1170/2013 consid. 3.3; 2C_36/2009 du 20 octobre 2009 consid. 3.2).</w:t>
      </w:r>
    </w:p>
    <w:p>
      <w:r>
        <w:rPr>
          <w:b/>
        </w:rPr>
        <w:t>E. 5.1.2</w:t>
      </w:r>
    </w:p>
    <w:p>
      <w:r>
        <w:t>La loi ne pose pas de limite temporelle minimale ou de critère permettant à un étranger formulant une nouvelle demande d'autorisation de séjour d'obtenir de l'autorité qu'elle entre en matière et évalue à nouveau la situation. Dans l'arrêt 2C_817/2012 du 19 février 2013, le Tribunal fédéral a retenu qu'il était justifié de se référer à la réglementation de la durée de l'interdiction d'entrée en Suisse ancrée à l'art. 67 LEtr, dont l'alinéa 3 prévoit en substance que l'interdiction d'entrée est prononcée, sauf menace grave pour la sécurité et l'ordre public, pour une durée maximale de cinq ans. En l'espèce, il a estimé que l'étranger pourrait formuler une nouvelle demande d'autorisation de séjour "dans les deux à trois ans", par référence à la décision d'interdiction d'entrée en Suisse de trois ans qui lui avait été notifiée (cf. consid. 3.2.6). Dans l'arrêt 2C_1170/2012 du 24 mai 2013, le Tribunal fédéral a précisé cette jurisprudence en posant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(consid. 3.4.2 et les références citées, notamment à l' ATF 136 II 177 consid. 2.2.1 p. 181 s.).</w:t>
      </w:r>
    </w:p>
    <w:p>
      <w:r>
        <w:t>Ce dernier arrêt suggère que le délai de cinq ans commencerait à courir à partir du moment où l'étranger a quitté la Suisse. Il convient de préciser la jurisprudence sur ce point. Bien qu'il ait été fixé par référence à l'art. 67 LEtr, il n'est pas souhaitable de prendre comme point de départ du délai de cinq ans la date de l'éventuelle décision d'interdiction d'entrée en Suisse. En effet, une telle décision n'est pas forcément prononcée et, si elle l'est, il n'est pas rare qu'elle soit rendue bien après à la décision de révocation, respectivement de non-renouvellement de l'autorisation de séjour ou d'établissement (en l'espèce, elle a été rendue plus de cinq ans après l'entrée en force de la décision de non-renouvellement de l'autorisation de séjour du recourant); un tel dies a quo impliquerait que l'étranger serait alors tributaire de la date de la décision d'interdiction d'entrée en Suisse pour pouvoir formuler une nouvelle demande. Il convient dès lors de retenir que le délai de cinq ans commence à courir à compter de la date d'entrée en force de la décision initiale de non-renouvellement, respectivement de révocation de l'autorisation de séjour ou d'établissement. Une telle solution a l'avantage de proposer une solution simple et objective, ainsi que de contribuer à la sécurité du droit. Elle s'impose également dans le cas où une décision d'interdiction d'entrée en Suisse aurait été rendue pour une durée supérieure à cinq ans, en application de l'art. 67 al. 3 in fine LEtr: en effet, une décision d'interdiction d'entrée en Suisse doit être levée d'office lorsqu'une autorisation de séjour est néanmoins octroyée (arrêts 2C_36/2009 du 20 octobre 2009 consid. 3.4; 2C_473/2008 du 17 novembre 2008 consid. 2.3; cf. également, dans le contexte de la libre circulation des personnes, arrêt 2C_487/2012 2 avril 2013 consid. 4.6). Pour cette même raison, cette solution est également compatible avec les durées d'interdiction d'entrer sur le territoire prévues à l'art. 121 al 5 Cst., dont il faut tenir compte dans l'interprétation des dispositions légales du droit des étrangers (arrêts 2C_46/2014 du 16 septembre 2014 consid. 3.2.2; 2C_1170/2012 du 24 mai 2013 consid. 2.3) quand bien même les art. 121 al. 3 à 6 Cst. ne sont pas directement applicables ( ATF 139 I 16 consid. 4.3.2 p. 26). Doit toutefois être réservé le cas où l'étranger ne respecterait pas son devoir de quitter la Suisse après l'entrée en force de la décision de révocation, respectivement de non-renouvellement de son autorisation de séjour ou d'établissement.</w:t>
      </w:r>
    </w:p>
    <w:p>
      <w:r>
        <w:rPr>
          <w:b/>
        </w:rPr>
        <w:t>E. 5.2</w:t>
      </w:r>
    </w:p>
    <w:p>
      <w:r>
        <w:t>Si l'expiration du délai de cinq ans après l'entrée en force de la décision initiale mettant fin au titre de séjour justifie le droit à obtenir un nouvel examen au fond de la demande de regroupement familial en vertu des art. 42 ss LEtr, cela ne signifie pas encore que les actes commis par le passé, qui perdent certes en importance avec l'écoulement du temps, n'entrent plus du tout en considération en tant que motifs d'extinction au sens de l'art. 51 LEtr. L'autorité doit bien au contraire procéder à une pesée des intérêts, au cours de laquelle ces motifs d'extinction, même atténués en raison de l'écoulement du temps, doivent être mis en balance avec l'intérêt privé de la personne concernée (arrêt 2C_1170/2012 du 24 mai 2013 consid. 3.5.2; 2C_36/2009 du 20 octobre 2009 consid. 3.2).</w:t>
      </w:r>
    </w:p>
    <w:p>
      <w:r>
        <w:t>En ce qui concerne l'intérêt public au maintien de l'éloignement de l'étranger, le point de savoir à partir de quel moment les actes pénaux commis dans le passé ne peuvent désormais plus s'opposer au regroupement familial dépendent des circonstances. L'appréciation du risque de récidive est fonction de la nature et de l'intensité de l'atteinte aux biens juridiques concernés: plus les atteintes sont graves, plus il convient de se montrer circonspect dans l'appréciation du risque de récidive (cf. arrêt 2C_1170/2013 du 24 mai 2013 consid. 2.1 et 3.5.3; 2C_36/2009 du 20 octobre 2009 consid. 3.2 in fine).</w:t>
      </w:r>
    </w:p>
    <w:p>
      <w:r>
        <w:t>En ce qui concerne l'intérêt privé de l'étranger, le refus de lui accorder le droit au regroupement familial peut violer l' art. 8 CEDH , respectivement l' art. 13 al. 1 Cst. (cette dernière disposition n'ayant toutefois pas de portée plus grande que l' art. 8 CEDH ; ATF 137 I 284 consid. 2.1 p. 288; arrêt 2C_1170/2012 du 24 mai 2013 consid 2.2), qui protègent le droit au respect de sa vie privée et familiale en présence d'une relation étroite et effective avec les membres de la famille (conjoint et enfants mineurs; ATF 137 I 284 consid. 1.3 p. 287; arrêt 2C_117/2012 du 11 juin 2012 consid. 4.4.1). Il n'y a pas atteinte à la vie familiale si l'on peut sans autre attendre des membres de la famille qu'ils réalisent leur vie de famille à l'étranger (cf. ATF 137 I 247 consid. 4.1.2 p. 249 s.). Le droit au respect de la vie privée et familiale garanti par l'art. 8 § 1 CEDH n'est au demeurant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Lorsqu'on est en présence d'un mariage réellement vécu, il convient en particulier de prendre en compte: la nature et la gravité de l'infraction commise par le requérant; la durée du séjour de l'intéressé dans le pays;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respectivement est déjà résident; l'intérêt et le bien-être des enfants, en particulier la gravité des difficultés que ceux-ci sont susceptibles de rencontrer dans le pays vers lequel l'intéressé doit être expulsé ou est résident; la solidité des liens sociaux, culturels et familiaux avec le pays hôte et avec le pays de destination (arrêt 2C_365/2013 du 30 août 2013 consid. 2.3 non publié in ATF 139 I 325 ; ATF 139 I 31 consid. 2.3.3 p. 34 s; 139 I 145 consid. 2.4 p. 149 et les références citées, notamment à la jurisprudence la Cour européenne des droits de l'homme).</w:t>
      </w:r>
    </w:p>
    <w:p>
      <w:r>
        <w:rPr>
          <w:b/>
        </w:rPr>
        <w:t>E. 6</w:t>
      </w:r>
    </w:p>
    <w:p>
      <w:r>
        <w:t>En l'espèce, les juges cantonaux ont confirmé la position du Service cantonal, selon laquelle, faute de faits nouveaux, il n'y avait pas lieu d'entrer en matière sur la demande du 19 juillet 2013 du recourant. Ils ont ajouté que même si les problèmes de santé de l'enfant A.________ devaient être qualifiés de faits nouveaux, l'intérêt public à l'éloignement du recourant serait toujours prépondérant.</w:t>
      </w:r>
    </w:p>
    <w:p>
      <w:r>
        <w:rPr>
          <w:b/>
        </w:rPr>
        <w:t>E. 6.1</w:t>
      </w:r>
    </w:p>
    <w:p>
      <w:r>
        <w:t>Ce raisonnement n'est pas conforme avec la jurisprudence rappelée ci-dessus pour deux motifs. Premièrement, le Tribunal cantonal aurait dû entrer en matière sur la demande du recourant du 19 juillet 2013, dès lors qu'il s'était écoulé plus de cinq ans (en réalité près de sept ans) depuis l'entrée en force, le 31 juillet 2006, de la décision de non-renouvellement de l'autorisation de séjour, respectivement quatre ans et demi depuis son départ de Suisse. Le fait que le recourant ait formé plusieurs demandes dans l'intervalle ne saurait le pénaliser. C'est donc à tort que le Tribunal cantonal a confirmé le bien-fondé du refus d'entrer en matière du Service de la population. Deuxièmement, la pesée des intérêts que les juges cantonaux ont opérée à titre subsidiaire pour conclure à la prédominance de l'intérêt public à l'éloignement du recourant est sommaire et insuffisante, puisqu'ils se sont limités à affirmer que l'intérêt public à l'éloignement du recourant était prédominant, sans prendre en considération les paramètres requis par la jurisprudence.</w:t>
      </w:r>
    </w:p>
    <w:p>
      <w:r>
        <w:rPr>
          <w:b/>
        </w:rPr>
        <w:t>E. 6.2</w:t>
      </w:r>
    </w:p>
    <w:p>
      <w:r>
        <w:t>Dans ces circonstances, il convient d'admettre le recours, d'annuler l'arrêt attaqué et de renvoyer l'affaire au Service de la population pour qu'il entre en matière sur la demande du 19 juillet 2013 et qu'il procède à une pesée des intérêts tenant compte de l'ensemble des éléments rappelés ci-dessus.</w:t>
      </w:r>
    </w:p>
    <w:p>
      <w:r>
        <w:t>Ayant obtenu gain de cause avec l'aide d'un mandataire professionnel, le recourant a droit à des dépens ( art. 68 al. 1 et 2 LTF ). Il ne sera pas perçu de frais judiciaires ( art. 66 al. 4 LTF ). La cause sera renvoyée au Tribunal cantonal pour qu'il statue à nouveau sur les frais et dépens de la procédure menée devant lui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