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120/2025 vom 4. März 2025</w:t>
      </w:r>
    </w:p>
    <w:p>
      <w:r>
        <w:t>Bundesgericht, 2025-03-04, DE</w:t>
      </w:r>
    </w:p>
    <w:p>
      <w:r>
        <w:rPr>
          <w:b/>
        </w:rPr>
        <w:t xml:space="preserve">Quelle: </w:t>
      </w:r>
      <w:r>
        <w:t>https://mcp.opencaselaw.ch/entscheid/bger_2C_120_2025</w:t>
      </w:r>
    </w:p>
    <w:p>
      <w:r>
        <w:t>FR: TF 2C 120/2025 du 4 mars 2025</w:t>
      </w:r>
    </w:p>
    <w:p>
      <w:r>
        <w:t>IT: TF 2C 120/2025 del 4 marzo 2025</w:t>
      </w:r>
    </w:p>
    <w:p>
      <w:pPr>
        <w:pStyle w:val="Heading2"/>
      </w:pPr>
      <w:r>
        <w:t>Regeste</w:t>
      </w:r>
    </w:p>
    <w:p>
      <w:r>
        <w:t>Amtshilfe (DBA CH-US) | Rechtshilfe und Auslieferung</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 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1.2</w:t>
      </w:r>
    </w:p>
    <w:p>
      <w:r>
        <w:t>Die Beschwerdeführer machen geltend, die ersuchende Behörde begründe die Amtshilfeersuchen damit, Erstere hätten für die Jahre 2016 bis 2020 erzieltes Einkommen nicht deklariert. Es sei jedoch erstellt, so die Beschwerdeführer, dass der Beschwerdeführer über gar keine Bankkontobeziehung bei Schweizer Banken verfügt und die Beschwerdeführerin auf den von ihr bei Schweizer Banken unterhaltenen Bankkonten kein Einkommen erzielt habe. Es stelle sich damit die erste Rechtsfrage, ob die ESTV für die Beurteilung des Erfordernisses der voraussichtlichen Erheblichkeit auf einen von der ersuchenden Behörde zwar behaupteten, aber durch die Ergebnisse der amtshilfeweise getroffenen Erhebung liquide als unzutreffend widerlegten Sachverhalt abstellen dürfe.</w:t>
      </w:r>
    </w:p>
    <w:p>
      <w:r>
        <w:rPr>
          <w:b/>
        </w:rPr>
        <w:t>E. 1.2.1</w:t>
      </w:r>
    </w:p>
    <w:p>
      <w:r>
        <w:t>Entgegen der Auffassung der Beschwerdeführer ist die von ihnen aufgeworfene Rechtsfrage bereits geklärt. Nach der bundesgerichtlichen Rechtsprechung ist das Erfordernis der voraussichtlichen Erheblichkeit erfüllt, wenn im Zeitpunkt der Gesuchstellung eine vernünftige Möglichkeit besteht, dass sich die angefragten Angaben als erheblich erweisen werden. Hingegen spielt es im Grundsatz keine Rolle, wenn sich - einmal beschafft - herausstellt, dass die Informationen nicht relevant sind. Es liegt grundsätzlich nicht am ersuchten Staat, ein Ersuchen oder die Übermittlung von Auskünften zu verweigern, weil er der Ansicht ist, es fehle an der Erheblichkeit der Anfrage oder der dieser zugrunde liegenden Überprüfung. Die ersuchte Behörde hat somit nicht zu entscheiden, ob der im Amtshilfeersuchen dargestellte Sachverhalt gänzlich der Realität entspricht, sondern muss nur überprüfen, ob die ersuchten Informationen einen Bezug zu diesem Sachverhalt haben (vgl. BGE 144 II 206 E. 4.3; 143 II 185 E. 3.3.2; 142 II 161 E. 2.1.1). Die Rolle der Steuerbehörden des ersuchten Staats beschränkt sich im Wesentlichen auf die Prüfung der Plausibilität des Ersuchens (vgl. BGE 142 II 161 E. 2.1.1; vgl. auch Urteile 2C_761/2022 vom 1. Juli 2024 E. 4.2.1; 2C_241/2016 vom 7. April 2017 E. 5.4).</w:t>
      </w:r>
    </w:p>
    <w:p>
      <w:r>
        <w:rPr>
          <w:b/>
        </w:rPr>
        <w:t>E. 1.2.2</w:t>
      </w:r>
    </w:p>
    <w:p>
      <w:r>
        <w:t>Die Vorinstanz nimmt auf die soeben dargelegte Rechtsprechung Bezug (vgl. E. 3.3.4 des angefochtenen Urteils) und erwägt, die Informationen betreffend die auf die Beschwerdeführer lautenden Schweizer Bankkonten, die im ersuchenden Staat nicht deklariert worden seien, hängten ohne Weiteres mit dem im Ersuchen dargestellten Sachverhalt zusammen. Es bestehe eine vernünftige Möglichkeit, dass diese dazu geeignet seien, im ausländischen Steuerverfahren verwendet zu werden, auch wenn die Informationen letzten Endes möglicherweise nicht ausschlaggebend seien (vgl. E. 4.2.2 des angefochtenen Urteils). Die Vorinstanz wendet somit lediglich die ständige Rechtsprechung zum Erfordernis der voraussichtlichen Erheblichkeit auf den vorliegenden Einzelfall an. Überdies hat sich das Bundesgericht entgegen der Auffassung der Beschwerdeführer auch bereits ausführlich zu den Ausnahmefällen geäussert, in denen die Entwicklung der Umstände dazu führen, dass die Voraussetzung der voraussichtlichen Erheblichkeit im Verlaufe des Verfahrens entfällt (vgl. BGE 144 II 206 E. 4.3; Urteile 2C_662/2021 und 2C_663/2021 vom 18. März 2022 E. 1.2.3 und E. 5.4.2; Urteil 2C_800/2020 vom 7. Oktober 2020 E. 4 und E. 6.3). Eine Rechtsfrage von grundsätzlicher Bedeutung im Sinne von Art. 84a BGG liegt nicht vor.</w:t>
      </w:r>
    </w:p>
    <w:p>
      <w:r>
        <w:rPr>
          <w:b/>
        </w:rPr>
        <w:t>E. 1.3</w:t>
      </w:r>
    </w:p>
    <w:p>
      <w:r>
        <w:t>Die Beschwerdeführer bringen im Weiteren vor, die ersuchende Behörde habe zwar angegeben, sich an das Spezialitätsprinzip zu halten, beabsichtige aber, die ersuchten Informationen zur Verfolgung von angeblichen Verstössen gegen "Title 31 USC" ("United States Code") zu verwenden. Es stelle sich daher die zweite Rechtsfrage, ob die von der ersuchenden Behörde beabsichtigte Verwendung von Informationen angeblicher Verstösse gegen "Title 31 USC" der Leistung der Amtshilfe entgegenstehe. Auf die Einhaltung des Spezialitätsprinzips könne nicht vertraut werden.</w:t>
      </w:r>
    </w:p>
    <w:p>
      <w:r>
        <w:rPr>
          <w:b/>
        </w:rPr>
        <w:t>E. 1.3.1</w:t>
      </w:r>
    </w:p>
    <w:p>
      <w:r>
        <w:t>Die von den Beschwerdeführern dem Bundesgericht unterbreitete Frage betrifft im Kern das völkerrechtliche Vertrauensprinzip. Nach dem (völkerrechtlichen) Grundsatz von Treu und Glauben im Sinne von Art. 26 des Wiener Übereinkommens vom 23. Mai 1969 über das Recht der Verträge (SR 0.111) wird vermutet, dass ein staatsvertraglich gebundener Staat nach Treu und Glauben handelt. Im Bereich der internationalen Amtshilfe in Steuersachen bedeutet diese Vermutung, dass der ersuchte Staat auf die Angaben des ersuchenden Staats vertraut (sogenanntes Vertrauensprinzip; vgl. BGE 146 II 150 E. 7.1). Zwar steht es dem ersuchten Staat offen, zu prüfen, ob die erbetenen Informationen für den vom ersuchenden Staat angestrebten steuerlichen Zweck voraussichtlich erheblich sind. Allerdings verpflichtet das völkerrechtliche Vertrauensprinzip ihn im Grundsatz dennoch, sich auf die Angaben zu verlassen, die der ersuchende Staat mitteilt (vgl. BGE 144 II 206 E. 4.4; 142 II 161 E. 2.1.3; 142 II 218 E. 3.3). Das Vertrauensprinzip schliesst daher nicht aus, dass der ersuchte Staat vom ersuchenden Staat zusätzliche Erklärungen verlangt, wenn ernsthafte Zweifel an der Einhaltung der völkerrechtlichen Grundsätze oder an der voraussichtlichen Erheblichkeit der ersuchten Informationen bestehen. Die Vermutung des guten Glaubens kann jedoch nur aufgrund konkreter, nachgewiesener Anhaltspunkte umgestossen werden (vgl. BGE 146 II 150 E. 7.1; 144 II 206 E. 4.4; Urteile 2C_622/2023 vom 15. November 2023 E. 1.2.3; 2C_241/2016 vom 7. April 2017 E. 5.5).</w:t>
      </w:r>
    </w:p>
    <w:p>
      <w:r>
        <w:rPr>
          <w:b/>
        </w:rPr>
        <w:t>E. 1.3.2</w:t>
      </w:r>
    </w:p>
    <w:p>
      <w:r>
        <w:t>Vorliegend hat die ersuchende Behörde bereits in den Amtshilfeersuchen vom 16. Mai 2022 und 1. November 2022 die Einhaltung der geltenden Vorschriften an die Geheimhaltung respektive Vertraulichkeit sowie an die zweckkonforme Verwendung der ersuchten Informationen bestätigt (vgl. Bst. A hiervor). Die Vorinstanz hat die Angaben der ersuchenden Behörde sowie die daran von den Beschwerdeführern geäusserten Zweifel eingehend geprüft und festgehalten, dass nach den überzeugenden Ausführungen der ersuchenden Behörde die Untersuchung zu den Verstössen gegen "Title 31 USC" im Zusammenhang mit den unter das Abkommen fallenden Steuern stünden (vgl. E. 4.4 des angefochtenen Urteils). Die Frage, ob die Vorinstanz in Bestätigung des Vorgehens der ESTV auf diese Angaben vertrauen darf, betrifft die Anwendung des völkerrechtlichen Vertrauensprinzips im vorliegenden Einzellfall. Gleiches gilt für das Vorbringen der Beschwerdeführer, sie hätten mit dem Hinweis, wonach die ersuchende Behörde die Bestimmungen zur internationalen Rechtshilfe in Strafsachen umgehe, die Vermutung des guten Glaubens umgestossen. Auch dieser Einwand bezieht sich auf die blosse Rechtsanwendung. Nach dem Dargelegten werfen die Beschwerdeführer keine Rechtsfrage von grundsätzlicher Bedeutung im Sinne von Art. 84a BGG auf.</w:t>
      </w:r>
    </w:p>
    <w:p>
      <w:r>
        <w:rPr>
          <w:b/>
        </w:rPr>
        <w:t>E. 1.4</w:t>
      </w:r>
    </w:p>
    <w:p>
      <w:r>
        <w:t>Im Ergebnis ist auf die Beschwerde in öffentlich-rechtlichen Angelegenheiten nicht einzutreten.</w:t>
      </w:r>
    </w:p>
    <w:p>
      <w:r>
        <w:rPr>
          <w:b/>
        </w:rPr>
        <w:t>E. 2</w:t>
      </w:r>
    </w:p>
    <w:p>
      <w:r>
        <w:t>Diesem Verfahrensausgang entsprechend tragen die Beschwerdeführer die Gerichtskosten zu gleichen Teilen und unter solidarischer Haftung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