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2C_120/2022 vom 10. Juni 2022</w:t>
      </w:r>
    </w:p>
    <w:p>
      <w:r>
        <w:t>Bundesgericht, 2022-06-10, FR</w:t>
      </w:r>
    </w:p>
    <w:p>
      <w:r>
        <w:rPr>
          <w:b/>
        </w:rPr>
        <w:t xml:space="preserve">Quelle: </w:t>
      </w:r>
      <w:r>
        <w:t>https://mcp.opencaselaw.ch/entscheid/bger_2C_120_2022</w:t>
      </w:r>
    </w:p>
    <w:p>
      <w:r>
        <w:t>FR: TF 2C_120/2022 du 10 juin 2022</w:t>
      </w:r>
    </w:p>
    <w:p>
      <w:r>
        <w:t>IT: TF 2C_120/2022 del 10 giugno 2022</w:t>
      </w:r>
    </w:p>
    <w:p>
      <w:pPr>
        <w:pStyle w:val="Heading2"/>
      </w:pPr>
      <w:r>
        <w:t>Erwägungen</w:t>
      </w:r>
    </w:p>
    <w:p>
      <w:r>
        <w:rPr>
          <w:b/>
        </w:rPr>
        <w:t>E. 1.1</w:t>
      </w:r>
    </w:p>
    <w:p>
      <w:r>
        <w:t>L'arrêt attaqué porte sur l'impôt direct cantonal 2016 et 2017 sur la fortune, plus précisément sur la question de savoir si les recourants ont valablement déposé une demande de nouvelle estimation fiscale de leur immeuble et si celle-ci est admissible. L'impôt direct sur la fortune fait partie du droit fiscal harmonisé (cf. art. 1 et 2 LHID ).</w:t>
      </w:r>
    </w:p>
    <w:p>
      <w:r>
        <w:rPr>
          <w:b/>
        </w:rPr>
        <w:t>E. 1.2</w:t>
      </w:r>
    </w:p>
    <w:p>
      <w:r>
        <w:t>Aux termes de l' art. 106 al. 1 LTF , le Tribunal fédéral applique le droit d'office. Par conséquent, il vérifie en principe librement l'application du droit fédéral et, notamment, la conformité du droit cantonal harmonisé et son application par les instances cantonales aux dispositions de la loi fédérale sur l'harmonisation fiscale. L' art. 106 al. 2 LTF prévoit toutefois que le Tribunal fédéral n'examine la violation de droits fondamentaux ainsi que celle de dispositions de droit cantonal et intercantonal que si ces griefs ont été invoqués et motivés. Il en va ainsi lorsque les dispositions de la loi fédérale sur l'harmonisation fiscale laissent une certaine marge de manoeuvre aux cantons; l'examen de l'interprétation du droit cantonal est alors limité à l'arbitraire ( ATF 143 II 459 consid. 2.1; 134 II 207 consid. 2). L' art. 106 al. 2 LTF exige que l'acte de recours contienne, à peine d'irrecevabilité, un exposé succinct des droits constitutionnels ou des principes juridiques violés et précise en quoi consiste la violation. Autrement dit, le Tribunal fédéral n'a pas à vérifier de lui-même si l'arrêt entrepris est en tous points conforme au droit et à l'équité; il n'examine que les griefs d'ordre constitutionnel invoqués et suffisamment motivés dans l'acte de recours ( ATF 143 II 283 consid. 1.2.2).</w:t>
      </w:r>
    </w:p>
    <w:p>
      <w:r>
        <w:rPr>
          <w:b/>
        </w:rPr>
        <w:t>E. 1.3</w:t>
      </w:r>
    </w:p>
    <w:p>
      <w:r>
        <w:t>Dans la mesure où le principe de la légalité ( art. 5 al. 1 Cst. ) est invoqué en relation avec l'application du droit cantonal non harmonisé en-dehors du domaine de protection de droits fondamentaux spécifiques, la cognition du Tribunal fédéral est limitée à l'arbitraire (cf. à ce sujet ATF 140 I 381 consid. 4.4; arrêts 2C_113/2021 du 22 décembre 2021 consid. 2.1, 2C_578/2018 du 4 février 2019 consid. 4.1 avec renvois).</w:t>
      </w:r>
    </w:p>
    <w:p>
      <w:r>
        <w:rPr>
          <w:b/>
        </w:rPr>
        <w:t>E. 2.1</w:t>
      </w:r>
    </w:p>
    <w:p>
      <w:r>
        <w:t>Réglé aux art. 13 et 14 de la loi du 14 décembre 1990 sur l'harmonisation des impôts directs des cantons et des communes (LHID; loi sur l'harmonisation fiscale, RS 642.14), l'impôt sur la fortune des personnes physiques a pour objet l'ensemble de la fortune nette ( art. 13 al. 1 LHID ) qui se détermine selon les règles d'évaluation prévues à l' art. 14 LHID . Selon l'al. 1 de l' art. 14 LHID , la fortune est estimée à la valeur vénale. Toutefois, la valeur de rendement peut être prise en considération de façon appropriée.</w:t>
      </w:r>
    </w:p>
    <w:p>
      <w:r>
        <w:t>La loi fédérale sur l'harmonisation fiscale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2e phr. LHID, dans quelle mesure le rendement doit être pris en considération dans l'estimation ( ATF 134 II 207 consid. 3.6; arrêt 2C_418/2020 du 21 décembre 2021, consid. 4.4.2 prévu pour la publication aux ATF).</w:t>
      </w:r>
    </w:p>
    <w:p>
      <w:r>
        <w:rPr>
          <w:b/>
        </w:rPr>
        <w:t>E. 2.2</w:t>
      </w:r>
    </w:p>
    <w:p>
      <w:r>
        <w:t>Le canton de Genève a mis en oeuvre ces règles dans la loi du 27 septembre 2009 sur l'imposition des personnes physiques (LIPP; RSGE D 3 08, en vigueur depuis le 1er janvier 2010). L'impôt sur la fortune a pour objet l'ensemble de la fortune nette après déductions sociales (art. 47 LIPP). Selon l'art. 49 al. 1 et 2 LIPP, l'état de la fortune mobilière et immobilière est établi au 31 décembre de l'année pour laquelle l'impôt est dû (al. 1). La fortune est estimée, en général, à la valeur vénale (al. 2). Les art. 50 ss LIPP établissent les principes d'évaluation des immeubles situés dans le canton (cf. à cet égard: ATF 134 II 207 consid. 3).</w:t>
      </w:r>
    </w:p>
    <w:p>
      <w:r>
        <w:t>Selon l'art. 51 LIPP, tout propriétaire qui fait construire un bâtiment nouveau ou qui, par des travaux quelconques, augmente la valeur d'un bâtiment ou d'une propriété, est tenu de faire au département, dans les 12 mois qui suivent l'achèvement de la construction ou des travaux, une déclaration indiquant la nature, l'importance et la valeur des modifications ou des nouvelles constructions (al. 1). Le coût de ces constructions et travaux est intégré à la valeur fiscale (al. 2).</w:t>
      </w:r>
    </w:p>
    <w:p>
      <w:r>
        <w:rPr>
          <w:b/>
        </w:rPr>
        <w:t>E. 2.3</w:t>
      </w:r>
    </w:p>
    <w:p>
      <w:r>
        <w:t>En vertu de l'art. 52 al. 2 et 5 LIPP, l'évaluation des autres immeubles, soit des immeubles non locatifs, est faite par des commissions d'experts et vaut pour une période de 10 ans appelée période décennale (al. 2). Le Conseil d'Etat, comme le contribuable, ont, en tout temps, la faculté de faire procéder à de nouvelles estimations si des changements importants dans la valeur des immeubles le justifient (al. 5). Pendant la période décennale, les nouvelles constructions peuvent être évaluées par experts, tant à la demande du propriétaire qu'à celle du département (art. 52 al. 6 LIPP).</w:t>
      </w:r>
    </w:p>
    <w:p>
      <w:r>
        <w:rPr>
          <w:b/>
        </w:rPr>
        <w:t>E. 2.4</w:t>
      </w:r>
    </w:p>
    <w:p>
      <w:r>
        <w:t>En l'espèce, l'instance précédente a constaté que la valeur fiscale arrêtée par l'autorité intimée correspondait à la valeur du terrain nu de 4'162'000 fr., ayant remplacé la valeur d'acquisition de 7'200'000 fr. après démolition du bâtiment, à laquelle ont été ajoutés 8'762'253 fr., qui correspondaient au montant des travaux de démolition et de reconstruction tels que déclarés par les contribuables (arrêt attaqué, p. 8 in fine). Elle a jugé que cette manière de calculer la valeur fiscale était conforme au droit cantonal. Les recourants ne se plaignent pas de ce que l'instance précédente aurait procédé à une application arbitraire de l'art. 51 al. 2 LIPP, selon lequel le coût des constructions et travaux est intégré à la valeur fiscale. Ils ne contestent à cet égard du reste ni la valeur fiscale de 2016, qui équivaut au prix du terrain, ni la valeur des travaux de reconstruction, qu'ils ont eux-mêmes produite ni avoir déposé une nouvelle demande d'estimation après le 31 décembre de chaque année fiscale en cause en l'espèce.</w:t>
      </w:r>
    </w:p>
    <w:p>
      <w:r>
        <w:rPr>
          <w:b/>
        </w:rPr>
        <w:t>E. 3</w:t>
      </w:r>
    </w:p>
    <w:p>
      <w:r>
        <w:t>Les recourants soutiennent en revanche que l'obligation de déposer une demande de nouvelle estimation fiscale avant le 31 décembre de chaque année fiscale en cause ne repose sur aucune base légale.</w:t>
      </w:r>
    </w:p>
    <w:p>
      <w:r>
        <w:rPr>
          <w:b/>
        </w:rPr>
        <w:t>E. 3.1</w:t>
      </w:r>
    </w:p>
    <w:p>
      <w:r>
        <w:t>Selon la jurisprudence de l'instance précédente rendue en application des art. 50 ss LIPP, en matière d'estimation des immeubles, dont le contenu est exposé ci-dessus, le contribuable n'a pas la faculté de substituer sa propre appréciation à celle de l'administration ou de la commission d'experts (ATA 1223/2019 du 5 mars 2019 consid. 6; ATA/71/2018 du 23 janvier 2018 consid. 7b; ATA/45/2018 du 16 janvier 2018 consid. 4b). Si le contribuable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La jurisprudence cantonale ajoute que, pour avoir une incidence sur l'impôt d'une année déterminée, la demande d'expertise doit avoir été formée avant la date déterminante pour la situation du contribuable et la fixation de la matière imposable, soit le 31 décembre de ladite année (ATA/45/2018 précité consid. 4b; ATA/960/2014 consid. 5b; RDAF 2000 Il p. 280).</w:t>
      </w:r>
    </w:p>
    <w:p>
      <w:r>
        <w:rPr>
          <w:b/>
        </w:rPr>
        <w:t>E. 3.2</w:t>
      </w:r>
    </w:p>
    <w:p>
      <w:r>
        <w:t>Dirigé contre l'interprétation du droit de procédure cantonal en matière de délai pour demander une expertise de la valeur fiscale d'un immeuble dans le canton de Genève, qui ne tombe pas dans la champs d'application de la loi sur l'harmonisation fiscale, le grief de violation du principe de la légalité formulé par les recourants doit être considéré comme un grief de violation de l'interdiction de l'arbitraire dirigé contre la jurisprudence de l'instance précédente (cf. consid. 1.2 ci-dessus).</w:t>
      </w:r>
    </w:p>
    <w:p>
      <w:r>
        <w:t>Or, à cet égard, les recourants se bornent, à l'aide d'un examen historique, à substituer leur compréhension du droit cantonal à la position juridique de l'instance précédente sans exposer concrètement en quoi l'interprétation de celle-ci serait insoutenable. Une telle façon de procéder - en tant qu'elle remet en question comme devant une autorité d'appel la manière dont sont exposés, dans l'arrêt attaqué, la procédure d'estimation des immeubles et les délais dans lesquels une nouvelle estimation doit être demandée - ne répond pas aux exigences de l' art. 106 al. 2 LTF et est, partant, inadmissible devant le Tribunal fédéral.</w:t>
      </w:r>
    </w:p>
    <w:p>
      <w:r>
        <w:t>Le grief des recourants doit par conséquent être écarté, car il ne peut pas être examiné.</w:t>
      </w:r>
    </w:p>
    <w:p>
      <w:r>
        <w:rPr>
          <w:b/>
        </w:rPr>
        <w:t>E. 4</w:t>
      </w:r>
    </w:p>
    <w:p>
      <w:r>
        <w:t>Les recourants soutiennent enfin que l'instance précédente a violé leur droit d'être entendu et commis un déni de justice, en considérant que leurs arguments au sujet de la valeur vénale d'un bien immobilier ne devaient pas être examinés s'ils n'avaient pas fait valoir leur point de vue avant le 31 décembre de l'année fiscale considérée.</w:t>
      </w:r>
    </w:p>
    <w:p>
      <w:r>
        <w:t>Tel qu'ils sont formulés, les griefs de violation du droit d'être entendu et de déni de justice se confondent en l'occurrence. En effet, le formalisme excessif est un aspect particulier du déni de justice prohibé par l' art. 29 al. 2 Cst. , qui est également le siège des garanties relatives au droit d'être entendu. Il y a déni de justice, et partant une forme de violation du droit d'être entendu,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128 II 139 consid. 2a; 127 I 31 consid. 2a/bb).</w:t>
      </w:r>
    </w:p>
    <w:p>
      <w:r>
        <w:t>Or, le Tribunal fédéral a déjà jugé que le délai pour demander l'expertise d'un bien immobilier ne relevait pas du formalisme excessif (arrêt 2C_734/2008 du 29 janvier 2009 consid. 4.2 et 6.2). Cela signifie que les recourants ne peuvent pas se plaindre de n'avoir pas pu faire valoir leurs arguments contre la valeur fiscale fixée par l'autorité intimée, puisqu'ils n'ont pas, ce qui n'est pas litigieux, respecté le délai fixé au 31 décembre de chaque année fiscale par le droit cantonal à cette fin.</w:t>
      </w:r>
    </w:p>
    <w:p>
      <w:r>
        <w:t>Les deux grief sont par conséquent rejetés.</w:t>
      </w:r>
    </w:p>
    <w:p>
      <w:r>
        <w:rPr>
          <w:b/>
        </w:rPr>
        <w:t>E. 5</w:t>
      </w:r>
    </w:p>
    <w:p>
      <w:r>
        <w:t>Les considérants qui précèdent conduisent au rejet du recours</w:t>
      </w:r>
    </w:p>
    <w:p>
      <w:r>
        <w:t>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