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2C_1205/2013 vom 18. Juni 2015</w:t>
      </w:r>
    </w:p>
    <w:p>
      <w:r>
        <w:t>Bundesgericht, 2015-06-18, DE</w:t>
      </w:r>
    </w:p>
    <w:p>
      <w:r>
        <w:rPr>
          <w:b/>
        </w:rPr>
        <w:t xml:space="preserve">Quelle: </w:t>
      </w:r>
      <w:r>
        <w:t>https://mcp.opencaselaw.ch/entscheid/bger_2C_1205_2013</w:t>
      </w:r>
    </w:p>
    <w:p>
      <w:r>
        <w:t>FR: TF 2C_1205/2013 du 18 juin 2015</w:t>
      </w:r>
    </w:p>
    <w:p>
      <w:r>
        <w:t>IT: TF 2C_1205/2013 del 18 giugno 2015</w:t>
      </w:r>
    </w:p>
    <w:p>
      <w:pPr>
        <w:pStyle w:val="Heading2"/>
      </w:pPr>
      <w:r>
        <w:t>Erwägungen</w:t>
      </w:r>
    </w:p>
    <w:p>
      <w:r>
        <w:rPr>
          <w:b/>
        </w:rPr>
        <w:t>E. 1.1</w:t>
      </w:r>
    </w:p>
    <w:p>
      <w:r>
        <w:t>Die Vorinstanz hat ein einziges Urteil für die Staats- und Gemeindesteuern sowie für die direkte Bundessteuer erlassen, was zulässig ist, soweit die zu entscheidende Rechtsfrage im Bundesrecht und im harmonisierten kantonalen Recht gleich geregelt ist ( BGE 135 II 260 E. 1.3.1 S. 262 f.). Unter diesen Umständen ist den Beschwerdeführern nicht vorzuwerfen, nicht zwei getrennte Beschwerden eingereicht und keine getrennten Anträge gestellt zu haben; aus ihrer Eingabe geht deutlich hervor, dass sie beide Steuerarten betrifft ( BGE 135 II 260 E. 1.3.3 S. 264; Urteil 2C_1086/2012, 2C_1087/2012 vom 16. Mai 2013 E. 1.1). Das Bundesgericht hat hier für die Kantons- und Gemeindesteuern (2C_1205/2013) und die direkte Bundessteuer (2C_1206/2013)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1.2</w:t>
      </w:r>
    </w:p>
    <w:p>
      <w:r>
        <w:t>Die Beschwerde in öffentlich-rechtlichen Angelegenheiten ist gemäss Art. 82 ff. BGG in Verbindung mit Art. 146 DBG (SR 642.11) sowie Art. 73 des Bundesgesetzes vom 14. Dezember 1990 über die Harmonisierung der direkten Steuern der Kantone und Gemeinden (StHG; SR 642.14) bzw. § 168 des Steuergesetzes des Kantons Schwyz vom 9. Februar 2000 (StG/SZ; SRSZ 172.200) zulässig und die Beschwerdeführer sind zur Beschwerde in öffentlich-rechtlichen Angelegenheiten legitimiert. Auf die frist- und formgerecht eingereichte Beschwerde ist einzutreten ( Art. 42 und 100 BGG ).</w:t>
      </w:r>
    </w:p>
    <w:p>
      <w:r>
        <w:rPr>
          <w:b/>
        </w:rPr>
        <w:t>E. 1.3</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w:t>
      </w:r>
    </w:p>
    <w:p>
      <w:r>
        <w:t>Trotz der Rechtsanwendung von Amtes wegen prüft das Bundesgericht, unter Berücksichtigung der allgemeinen Begründungspflicht der Beschwerde ( Art. 42 BGG ), grundsätzlich nur die geltend gemachten Rügen, sofern die rechtlichen Mängel nicht geradezu offensichtlich sind ( BGE 140 III 115 E. 2 S. 116 ; 138 I 274 E. 1.6 S. 280).</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t>I. Direkte Bundessteuer</w:t>
      </w:r>
    </w:p>
    <w:p>
      <w:r>
        <w:rPr>
          <w:b/>
        </w:rPr>
        <w:t>E. 2</w:t>
      </w:r>
    </w:p>
    <w:p>
      <w:r>
        <w:t>Vorliegend ist unbestritten, dass die Beschwerdeführer in Israel ansässig sind und demzufolge in der Schweiz nicht der unbeschränkten Steuerpflicht unterliegen. Umstritten ist, ob und inwieweit eine beschränkte Steuerpflicht aufgrund der Beteiligung an der A.C._________ &amp; Co. besteht.</w:t>
      </w:r>
    </w:p>
    <w:p>
      <w:r>
        <w:rPr>
          <w:b/>
        </w:rPr>
        <w:t>E. 2.1</w:t>
      </w:r>
    </w:p>
    <w:p>
      <w:r>
        <w:t>Gemäss Art. 10 Abs. 1 DBG wird das Einkommen von Kommanditgesellschaften den einzelnen Teilhabern anteilmässig zugerechnet. Natürliche Personen ohne steuerrechtlichen Wohnsitz oder Aufenthalt in der Schweiz sind gemäss Art. 5 Abs. 1 lit. a DBG aufgrund wirtschaftlicher Zugehörigkeit steuerpflichtig, wenn sie in der Schweiz eine Erwerbstätigkeit ausüben. Bei wirtschaftlicher Zugehörigkeit beschränkt sich gemäss Art. 6 Abs. 2 DBG die Steuerpflicht auf die Teile des Einkommens, für die nach den Art. 4 und 5 eine Steuerpflicht in der Schweiz besteht, wobei mindestens das in der Schweiz erzielte Einkommen zu versteuern ist.</w:t>
      </w:r>
    </w:p>
    <w:p>
      <w:r>
        <w:t>Aus dem Zusammenspiel dieser Bestimmungen ergibt sich, dass im Ausland ansässige Beteiligte an Schweizer Kommanditgesellschaften in der Schweiz für ihren Anteil an dem von der Gesellschaft in der Schweiz erzielten Einkommen beschränkt steuerpflichtig sind.</w:t>
      </w:r>
    </w:p>
    <w:p>
      <w:r>
        <w:rPr>
          <w:b/>
        </w:rPr>
        <w:t>E. 2.2</w:t>
      </w:r>
    </w:p>
    <w:p>
      <w:r>
        <w:t>Die Beschwerdeführer rügen vorab, die Vorinstanz habe mit keinem Wort ausgeführt, weshalb die Beschwerdeführerin 2, welche nicht Gesellschafterin der A.C._________ &amp; Co. sei, ebenfalls in der Schweiz steuerpflichtig sei.</w:t>
      </w:r>
    </w:p>
    <w:p>
      <w:r>
        <w:t>Diese Rüge erfolgt zu Recht. Weder aus dem angefochtenen Entscheid noch aus den Akten ist ersichtlich, worauf eine - auch nur beschränkte - Steuerpflicht der Beschwerdeführerin 2 basieren sollte. Soweit die Beschwerdeführerin 2 in die Veranlagung einbezogen wurde, erfolgte dies somit zu Unrecht und der angefochtene Entscheid ist in Bezug auf die Beschwerdeführerin 2 aufzuheben.</w:t>
      </w:r>
    </w:p>
    <w:p>
      <w:r>
        <w:rPr>
          <w:b/>
        </w:rPr>
        <w:t>E. 2.3</w:t>
      </w:r>
    </w:p>
    <w:p>
      <w:r>
        <w:t>Die Beschwerdeführer rügen im Weiteren, die Vorinstanz habe ignoriert, dass die A.C._________ &amp; Co. anfangs des Jahres 2007 die Handelstätigkeit vollends eingestellt und seither keine Einnahmen mehr erzielt habe. Es liege dementsprechend eine willkürliche Ermessenstaxation vor.</w:t>
      </w:r>
    </w:p>
    <w:p>
      <w:r>
        <w:t>Die Beschwerdeführer machen damit eine offensichtlich unrichtige Sachverhaltsfeststellung durch die Vorinstanz geltend. Sie beschränken sich dabei jedoch auf das Vorbringen, die Vorinstanz nenne keinen Grund und habe keinen Hinweis, dass die Behauptung, wonach die A.C._________ &amp; Co. seit 2007 keine Erträge mehr erzielt habe, unrichtig sei. Die Beschwerdeführer vermochten ihre Sachverhaltsdarstellung vor den Vorinstanzen nicht zu belegen. Zudem stellen sie nicht in Abrede, dass die Bücher der Kommanditgesellschaft in den vorliegend relevanten Jahren nicht steuerrechtskonform geführt worden waren. Bei dieser Sachlage gelingt ihnen der erforderliche Nachweis nicht, dass die Sachverhaltsfeststellung der Vorinstanz offensichtlich unrichtig war. Das Bundesgericht hat dementsprechend von der vorinstanzlichen Feststellung auszugehen, wonach die Kommanditgesellschaft auch in den vorliegend relevanten Jahren einer Handelstätigkeit nachging. Was das Massliche der ermessensweise vorgenommenen Aufrechnungen betrifft, legen die Beschwerdeführer nicht dar, dass die von der Vorinstanz geschützten Berechnungen der Steuerbehörden offensichtlich unrichtig wären.</w:t>
      </w:r>
    </w:p>
    <w:p>
      <w:r>
        <w:rPr>
          <w:b/>
        </w:rPr>
        <w:t>E. 2.4</w:t>
      </w:r>
    </w:p>
    <w:p>
      <w:r>
        <w:t>Schliesslich bringen die Beschwerdeführer vor, die Vorinstanz habe negiert, dass eine ausländische Betriebsstätte der A.C._________ &amp; Co. vorliege.</w:t>
      </w:r>
    </w:p>
    <w:p>
      <w:r>
        <w:t>Auch mit diesem Vorbringen rügen die Beschwerdeführer eine offensichtlich unrichtige Sachverhaltsfeststellung durch die Vorinstanz. Im angefochtenen Entscheid wird ausgeführt, die Beschwerdeführer hätten verschiedentlich geltend gemacht, die Kommanditgesellschaft zunächst von Deutschland aus, dann von Israel aus geleitet zu haben. Indes hätten sie hierfür keinen rechtsgenüglichen Nachweis erbracht; weder die Bestätigung von E._________ erbringe diesen Nachweis, noch tue dies das Schreiben der F._________ Israel, welches nur bestätige, dass die Beschwerdeführer in Israel "tax residents" seien. Die Beschwerdeführer bringen vor, es entspreche schon der allgemeinen Erfahrung des Lebens, dass eine personenzentrierte Handelstätigkeit, wie im vorliegenden Fall, vom israelischen Wohnsitz aus vorgenommen werde und der Kaufmann hierfür nicht eigens in die weit entfernten Büroräumlichkeiten reise. Abgesehen davon, dass sich bei dieser Argumentation die Frage stellen würde, wozu denn die Kommanditgesellschaft überhaupt in der Schweiz domiziliert wurde und insbesondere hier über Büroräumlichkeiten verfügte, ist festzustellen, dass die Beschwerdeführer mit diesen Vorbringen keinen Nachweis zu erbringen vermögen, dass die A.C._________ &amp; Co. in Israel über eine Betriebsstätte verfügte. Unter einer Betriebsstätte ist eine feste Geschäftseinrichtung zu verstehen, in der die Geschäftstätigkeit des Unternehmens zumindest teilweise ausgeübt wird. Das Vorbringen der Beschwerdeführer, sie hätten in Israel ihre Wohnstätte, vermag das Vorliegen einer Betriebsstätte jedenfalls nicht zu belegen. Den Beschwerdeführern gelingt somit auch in diesem Punkt der erforderliche Nachweis nicht, dass die Sachverhaltsfeststellung der Vorinstanz offensichtlich unrichtig wäre. Das Bundesgericht hat dementsprechend von der vorinstanzlichen Feststellung auszugehen, wonach eine Betriebsstätte der A.C._________ &amp; Co. im Ausland nicht nachgewiesen ist.</w:t>
      </w:r>
    </w:p>
    <w:p>
      <w:r>
        <w:rPr>
          <w:b/>
        </w:rPr>
        <w:t>E. 3</w:t>
      </w:r>
    </w:p>
    <w:p>
      <w:r>
        <w:t>Basierend auf ihren Sachverhaltsfeststellungen hat die Vorinstanz die - beschränkte - Steuerpflicht des Beschwerdeführers 1 aufgrund des durch die A.C._________ &amp; Co. erzielten Ertrags, sowie die vollumfängliche Besteuerung dieses von ihr ermessensweise ermittelten und dem Beschwerdeführer 1 zugewiesenen Ertrags in der Schweiz gestützt auf Art. 6 Abs. 2 DBG i.V.m. Art. 10 Abs. 2 DBG zu Recht bejaht. Die Beschwerdeführer machen im Übrigen nicht geltend, diese Rechtsanwendung sei unrichtig.</w:t>
      </w:r>
    </w:p>
    <w:p>
      <w:r>
        <w:t>Die Vorinstanz hat im Weiteren festgehalten, das Abkommen vom 2. Juli 2003 zwischen der Schweizerischen Eidgenossenschaft und dem Staat Israel zur Vermeidung der Doppelbesteuerung auf dem Gebiet der Steuern vom Einkommen und vom Vermögen (SR 0.672.944.91) bestimme in Art. 7 Abs. 1, dass Gewinne eines Unternehmens eines Vertragsstaates nur in diesem Staat besteuert werden, es sei denn, das Unternehmen übe seine Tätigkeit im anderen Vertragsstaat durch eine dort gelegene Betriebsstätte aus. Die Vorinstanz kommt weiter zum Schluss, die Kommanditgesellschaft A.C._________ &amp; Co. sei als Unternehmung zu qualifizieren und als solche der Schweiz zuzuordnen. Mithin stehe das Doppelbesteuerungsabkommen mit Israel einer Besteuerung der Kommanditgesellschaft bzw. der Beschwerdeführer für die aus der Kommanditgesellschaft stammenden Einkommensbestandteile in der Schweiz nicht entgegen. Diese Erwägungen der Vorinstanz, welche von den Beschwerdeführern nicht in Frage gestellt werden, sind nicht zu beanstanden, soweit sie sich auf den Beschwerdeführer 1 beziehen (betreffend die Beschwerdeführerin 2 vgl. E. 2.2).</w:t>
      </w:r>
    </w:p>
    <w:p>
      <w:r>
        <w:rPr>
          <w:b/>
        </w:rPr>
        <w:t>E. 4</w:t>
      </w:r>
    </w:p>
    <w:p>
      <w:r>
        <w:t>Die Beschwerde betreffend die direkte Bundessteuer ist demnach in Bezug auf den Beschwerdeführer 1 abzuweisen und in Bezug auf die Beschwerdeführerin 2 gutzuheissen.</w:t>
      </w:r>
    </w:p>
    <w:p>
      <w:r>
        <w:t>II. Kantonale Steuern</w:t>
      </w:r>
    </w:p>
    <w:p>
      <w:r>
        <w:rPr>
          <w:b/>
        </w:rPr>
        <w:t>E. 5</w:t>
      </w:r>
    </w:p>
    <w:p>
      <w:r>
        <w:t>Die vorliegend relevanten Bestimmungen des kantonalen Steuergesetzes, d.h. insbesondere § 5 Abs. 2 lit. a StG /SZ, § 6 Abs. 2 StG /SZ und § 10 Abs. 1 StG /SZ, entsprechen den einschlägigen Bestimmungen des DBG. Aus den zur direkten Bundessteuer ausgeführten Gründen ist demnach die Beschwerde ebenfalls insoweit gutzuheissen, als die Beschwerdeführerin 2 als steuerpflichtig erklärt wurde, und im übrigen abzuweisen.</w:t>
      </w:r>
    </w:p>
    <w:p>
      <w:r>
        <w:t>III. Kosten</w:t>
      </w:r>
    </w:p>
    <w:p>
      <w:r>
        <w:rPr>
          <w:b/>
        </w:rPr>
        <w:t>E. 6</w:t>
      </w:r>
    </w:p>
    <w:p>
      <w:r>
        <w:t>Nach dem Ausgeführten ist die Beschwerde sowohl betreffend die direkte Bundessteuer als auch betreffend die Kantons- und Gemeindesteuern in Bezug auf die Beschwerdeführerin 2 gutzuheissen. In Bezug auf den Beschwerdeführer 1 ist die Beschwerde betreffend beide Steuerarten als unbegründet abzuweisen.</w:t>
      </w:r>
    </w:p>
    <w:p>
      <w:r>
        <w:t>Bei diesem Prozessausgang trägt der Beschwerdeführer 1 die Kosten des bundesgerichtlichen Verfahrens ( Art. 66 Abs. 1 BGG ). Der Kanton Schwyz hat die Beschwerdeführerin 2 angemessen zu entschädigen ( Art. 68 Abs. 2 BGG ). Die Vorinstanz wird dementsprechend über die Kosten- und Entschädigungsfolgen des kantonalen Verfahrens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