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2C_1205/2012 vom 25. April 2013</w:t>
      </w:r>
    </w:p>
    <w:p>
      <w:r>
        <w:t>Bundesgericht, 2013-04-25, DE</w:t>
      </w:r>
    </w:p>
    <w:p>
      <w:r>
        <w:rPr>
          <w:b/>
        </w:rPr>
        <w:t xml:space="preserve">Quelle: </w:t>
      </w:r>
      <w:r>
        <w:t>https://mcp.opencaselaw.ch/entscheid/bger_2C_1205_2012</w:t>
      </w:r>
    </w:p>
    <w:p>
      <w:r>
        <w:t>FR: TF 2C_1205/2012 du 25 avril 2013</w:t>
      </w:r>
    </w:p>
    <w:p>
      <w:r>
        <w:t>IT: TF 2C_1205/2012 del 25 aprile 2013</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 in einem einzigen Urteil zu erledigen (vgl. Art. 71 BGG in Verbindung mit Art. 24 BZP ;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zur Beschwerde legitimiert ( Art. 89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Eine diesen Anforderungen genügende Begründung ist vorliegend nur teilweise zu erkennen.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t>I. Direkte Bundessteuer</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w:t>
      </w:r>
    </w:p>
    <w:p>
      <w:r>
        <w:rPr>
          <w:b/>
        </w:rPr>
        <w:t>E. 2.2</w:t>
      </w:r>
    </w:p>
    <w:p>
      <w:r>
        <w:t>Die Vorinstanz hat mit zutreffender Begründung, auf die verwiesen werden darf, die Voraussetzungen für die Vornahme einer Ermessensveranlagung nach Art. 130 Abs. 2 DBG dargelegt und in haltbarer Weise erwogen, dass mangels der angeforderten Unterlagen (Lohnausweis, Arbeitsvertrag, Bonusplan, usw.) das steuerbare Einkommen nach pflichtgemässem Ermessen zu schätzen war (vgl. angefochtener Entscheid E. 2.3). Unerheblich ist, aus welchen Gründen die Beschwerdeführer - trotz mehrfacher Mahnungen - die genaue Entwicklung der Einkünfte nicht belegen konnten oder wollten. Für die Vornahme einer Veranlagung nach pflichtgemässem Ermessen genügt es, dass die Steuerfaktoren mangels zuverlässiger Unterlagen nicht einwandfrei ermittelt werden können; ein Verschulden ist nicht erforderlich (Urteil 2C_279/2011 vom 17. Oktober 2011 E. 2.2, in: StE 2012 B 93.5 Nr. 26).</w:t>
      </w:r>
    </w:p>
    <w:p>
      <w:r>
        <w:rPr>
          <w:b/>
        </w:rPr>
        <w:t>E. 3.1</w:t>
      </w:r>
    </w:p>
    <w:p>
      <w:r>
        <w:t>Der Steuerpflichtige kann eine Ermessensveranlagung nur wegen offensichtlicher Unrichtigkeit anfechten. Die Einsprache ist zu begründen und muss allfällige Beweismittel nennen ( Art. 132 Abs. 3 DBG ). Die Erfordernisse der Begründung und der Nennung der Beweismittel stellen bei Einsprachen, die gegen eine Ermessenseinschätzung erhoben werden, Prozessvoraussetzungen dar ( BGE 131 II 548 E. 2.3 S. 551; 123 II 552 E. 4c S. 557 f.; Urteil 2C_504/2010 vom 22. November 2011 E. 2.1, in: StR 67/2012 S. 143; je mit Hinweisen).</w:t>
      </w:r>
    </w:p>
    <w:p>
      <w:r>
        <w:rPr>
          <w:b/>
        </w:rPr>
        <w:t>E. 3.2</w:t>
      </w:r>
    </w:p>
    <w:p>
      <w:r>
        <w:t>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(Urteil 2C_504/2010 vom 22. November 2010 E. 2.2 mit Hinweisen, in: StR 67/2012 S. 143).</w:t>
      </w:r>
    </w:p>
    <w:p>
      <w:r>
        <w:rPr>
          <w:b/>
        </w:rPr>
        <w:t>E. 3.3</w:t>
      </w:r>
    </w:p>
    <w:p>
      <w:r>
        <w:t>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 2C_279/2011 vom 17. Oktober 2011 E. 3.1 mit Hinweis, in: StE 2012 B 93.5 Nr. 26).</w:t>
      </w:r>
    </w:p>
    <w:p>
      <w:r>
        <w:rPr>
          <w:b/>
        </w:rPr>
        <w:t>E. 3.4</w:t>
      </w:r>
    </w:p>
    <w:p>
      <w:r>
        <w:t>Die Beschwerdeführer rügen die Verletzung von Bundesrecht ( Art. 9 und 127 Abs. 2 BV , Art. 127 und 130 DBG ) und kantonalem Recht (analoge Bestimmungen des Zürcher Steuergesetzes; vgl. E. 4.1 hiernach). Sie machen im Wesentlichen geltend, der Sachverhalt sei vor Ende des Einspracheverfahrens und erst recht vor den Rechtsmittelinstanzen des Kantons Zürich genügend liquid gewesen, um eine ordentliche Einschätzung/Veranlagung vorzunehmen. Zudem sei das Novenverbot zu restriktiv angewandt sowie die Untersuchungspflicht verletzt worden. Weiter sind die Beschwerdeführer der Ansicht, die Ermessenseinschätzung sei nicht pflichtgemäss vorgenommen worden. Die Verdoppelung der geschätzten steuerbaren Einkünfte sei willkürlich und trage "pönale Züge".</w:t>
      </w:r>
    </w:p>
    <w:p>
      <w:r>
        <w:rPr>
          <w:b/>
        </w:rPr>
        <w:t>E. 3.5</w:t>
      </w:r>
    </w:p>
    <w:p>
      <w:r>
        <w:t>Die Rügen der Beschwerdeführer vermögen - sofern die Begründungsanforderungen (vgl. E. 1.3 hiervor) überhaupt erfüllt sind - bei näherer Betrachtung nicht zu überzeugen.</w:t>
      </w:r>
    </w:p>
    <w:p>
      <w:r>
        <w:rPr>
          <w:b/>
        </w:rPr>
        <w:t>E. 3.5.1</w:t>
      </w:r>
    </w:p>
    <w:p>
      <w:r>
        <w:t>So trifft es entgegen der Darstellung der Beschwerdeführer nicht zu, dass noch im Verlauf des Einspracheverfahrens ein "materiell korrekter Lohnausweis" des Ehemannes vorgelegen habe. Vielmehr hat die Vorinstanz verbindlich festgestellt (vgl. E. 1.4 hiervor), dass die eingeforderten Belege nicht innerhalb der 30-tägigen Rechtsmittelfrist nach Eröffnung der Veranlagungsverfügung eingereicht worden sind. Die mit Schreiben vom 24. Juni 2011 eingereichten Unterlagen sind somit - trotz mehrfacher Mahnungen - verspätet eingegangen. Im Übrigen trifft auch die Behauptung nicht zu, der Lohnausweis sei noch vor Eröffnung des Einspracheentscheides eingereicht worden: Zwar hat das Steueramt den Steuerpflichtigen am 16. Mai 2011 einen Einschätzungsvorschlag im Einspracheverfahren unterbreitet und ihnen nochmals eine Frist bis zum 15. Juni 2011 gesetzt, um entweder die Einsprache zurückzuziehen oder Einwendungen schriftlich und mit Belegen geltend zu machen. Auch diese Frist haben die Beschwerdeführer jedoch wiederum ungenutzt verstreichen lassen. Sie haben erst mit Schreiben vom 24. Juni 2011 reagiert; das Schreiben ging - gemäss den verbindlichen Feststellungen der Vorinstanz - am 28. Juni 2011 beim Steueramt ein, der Einspracheentscheid datiert vom 27. Juni 2011 und konnte deshalb das Schreiben der Beschwerdeführer nicht mehr berücksichtigen.</w:t>
      </w:r>
    </w:p>
    <w:p>
      <w:r>
        <w:rPr>
          <w:b/>
        </w:rPr>
        <w:t>E. 3.5.2</w:t>
      </w:r>
    </w:p>
    <w:p>
      <w:r>
        <w:t>Sodann hat das Verwaltungsgericht zu Recht festgestellt, dass der Lohnausweis vom 23. Juni 2011 (mit oben erwähntem Schreiben vom 24. Juni 2011 eingereicht) vor dem Steuerrekursgericht zwar als neues Beweismittel zugelassen war, aber den formellen Anforderungen (insbesondere Name und Anschrift der Arbeitgeberin, Bezeichnung der für den Lohnausweis zuständigen Person inkl. Telefonnummer) nicht zu genügen vermag (vgl. angefochtener Entscheid E. 2.6).</w:t>
      </w:r>
    </w:p>
    <w:p>
      <w:r>
        <w:t>Die Beschwerdeführer rügen als überspitzt formalistisch, dass die Vorinstanz den Lohnausweis wegen dessen formeller Mängel nicht berücksichtigt habe. Indessen hat bereits das Steuerrekursgericht zwar auf die formellen Mängel hingewiesen, aber sich trotzdem auch inhaltlich mit dem Lohnausweis auseinandergesetzt und ist zum Ergebnis gekommen, dass die von den Beschwerdeführern eingereichten Unterlagen (samt Lohnausweis) nicht geeignet sind, das Einkommen pro 2008 zweifelsfrei zu belegen. Das Verwaltungsgericht hat sich im Rahmen der ihm unter diesen Umständen zustehenden Kognition mit den Vorbringen der Beschwerdeführer auseinandergesetzt und hat namentlich auch erwogen, dass die Angaben der Pflichtigen, insbesondere in Bezug auf die Mitarbeiterbeteiligungspläne, nach wie vor nicht belegt seien. Was die Beschwerdeführer dagegen vorbringen, stimmt weitgehend wortwörtlich mit ihren Darlegungen in der Beschwerde an das Verwaltungsgericht überein. Eine Auseinandersetzung mit den Erwägungen der Vorinstanz findet folglich nicht statt, so dass insoweit die Anforderungen an die Beschwerdebegründung ( Art. 42 Abs. 2 BGG ) und erst recht die strengeren Rüge-Anforderungen nach Art. 106 Abs. 2 BGG (vgl. E. 1.3 hiervor) nicht erfüllt sind.</w:t>
      </w:r>
    </w:p>
    <w:p>
      <w:r>
        <w:rPr>
          <w:b/>
        </w:rPr>
        <w:t>E. 3.5.3</w:t>
      </w:r>
    </w:p>
    <w:p>
      <w:r>
        <w:t>Was die Beschwerdeführer im Weiteren vorbringen, ist nicht geeignet, den angefochtenen Entscheid als bundesrechtswidrig erscheinen zu lassen. Soweit sie geltend machen, die Steuerbehörden hätten den Untersuchungsgrundsatz verletzt und sich wegen des fehlenden Lohnausweises direkt an die Arbeitgeberin richten müssen, ist zu bemerken, dass die Veranlagungsbehörde gemäss Art. 127 Abs. 2 DBG zwar die nötigen Bescheinigung von Dritten (z.B. dem Arbeitgeber) einfordern kann, sie dazu aber nicht verpflichtet ist (RICHNER/FREI/ KAUFMANN/MEUTER, Handkommentar zum DBG, 2. Aufl. 2009, Art. 127 N. 25).</w:t>
      </w:r>
    </w:p>
    <w:p>
      <w:r>
        <w:t>Die Beschwerdeführer verkennen sodann grundsätzlich, dass es an ihnen gelegen hätte, nach Missachtung der Mitwirkungspflichten im Veranlagungsverfahren die betreffenden Unterlagen der Steuerverwaltung zu unterbreiten, was sie innert gesetzter Frist unterlassen haben. Vor der Vorinstanz stellte sich damit nur noch die Frage, inwieweit das Steueramt im Einspracheverfahren die Einwände bezüglich der ermessensweisen Veranlagung des steuerbaren Einkommens zu Recht nicht an die Hand genommen hat, wozu sie nach dem vorstehend Ausgeführten berechtigt war, weil den Beschwerdeführern in jenem Verfahren der Nachweis der offensichtlichen Unrichtigkeit der amtlichen Veranlagung (mangels Einreichung der einverlangten Unterlagen) nicht gelungen war. Dass sich dieser Nachweis - allenfalls - anhand der erst vor der Vorinstanz eingereichten Unterlagen hätte erbringen lassen, ist dabei unerheblich (Urteil 2C_504/2010 vom 22. November 2011 E. 2.6, in: StR 67/2012 S. 143).</w:t>
      </w:r>
    </w:p>
    <w:p>
      <w:r>
        <w:rPr>
          <w:b/>
        </w:rPr>
        <w:t>E. 3.5.4</w:t>
      </w:r>
    </w:p>
    <w:p>
      <w:r>
        <w:t>Soweit die Beschwerdeführer im Eventualantrag schliesslich ausführen, die angefochtene Einschätzung genüge den Grundsätzen des pflichtgemässen Ermessens nicht und sei offensichtlich unrichtig und damit willkürlich, kann ihnen ebenso wenig gefolgt werden.</w:t>
      </w:r>
    </w:p>
    <w:p>
      <w:r>
        <w:t>Das kantonale Steueramt hat das steuerbare Einkommen der Beschwerdeführer auf rund Fr. 6 Mio. geschätzt. Dass diese Schätzung im Sinne der zitierten Praxis (vgl. E. 3.3 hiervor) offensichtlich unrichtig ist, vermögen die Beschwerdeführer jedoch nicht darzutun (vgl. auch Urteil 2A.113/2005 vom 16. September 2005 E. 4.1.3, nicht publ. in: BGE 131 II 548 ; BGE 123 II 552 E. 4c S. 557). Ein solches Einkommen ist auch für einen Managing Director einer Grossbank, der sich für 650 Mitarbeitende verantwortlich zeigte, durchaus mit der allgemeinen Lebenserfahrung vereinbar. Wie die Vorinstanz zu Recht ausführt, gilt dies insbesondere auch im Lichte der Vorjahreseinkommens von Fr. 6'118'300.-- bzw. Fr. 6'112'000.-- (vgl. angefochtener Entscheid E. 3.5).</w:t>
      </w:r>
    </w:p>
    <w:p>
      <w:r>
        <w:t>Diese Schätzung ist zudem - entgegen der Ansicht der Beschwerdeführer - durchaus begründet; das Steueramt hat sich auf die eingereichte Lohnaufstellung gestützt, die etwa einen Bonus in der Höhe von Fr. 3,52 Mio. enthält. Für die dort erwähnten Abzüge fehlten nähere Angaben oder Belege, namentlich auch bezüglich den Abzug von rund Fr. 2,24 Mio. "Super EOP". Für alles Weitere kann auf den angefochtenen Entscheid (E. 3) verwiesen werden: Die Einkommensverhältnisse der Beschwerdeführer bleiben bis zum heutigen Zeitpunkt im Dunkeln, obwohl es bezüglich der Mitarbeiterbeteiligungsprogramme "EOP" und "Super EOP" möglich gewesen wäre, die zweckdienlichen Belege fristgerecht einzureichen. Zu Recht hat die Vorinstanz sodann ausgeführt, dass die Behauptungen des Beschwerdeführers, bestimmte Besteuerungspläne (A oder B) für Mitarbeiterbeteiligungen gewählt zu haben, verspätet erfolgt seien und damit als nicht erwiesen zu gelten haben. Als ebenso wenig willkürlich erweist sich der Schluss der Vorinstanz, die in der erwähnten Lohnaufstellung aufgeführten steuermindernden Abzüge seien aufgrund der Beweislastverteilung zu Ungunsten der Beschwerdeführer nicht zu berücksichtigen.</w:t>
      </w:r>
    </w:p>
    <w:p>
      <w:r>
        <w:rPr>
          <w:b/>
        </w:rPr>
        <w:t>E. 3.6</w:t>
      </w:r>
    </w:p>
    <w:p>
      <w:r>
        <w:t>Daraus ergibt sich, dass die Beschwerde in öffentlich-rechtlichen Angelegenheiten betreffend die direkte Bundessteuer abzuweisen ist.</w:t>
      </w:r>
    </w:p>
    <w:p>
      <w:r>
        <w:t>II. Staats- und Gemeindesteuern</w:t>
      </w:r>
    </w:p>
    <w:p>
      <w:r>
        <w:rPr>
          <w:b/>
        </w:rPr>
        <w:t>E. 4.1</w:t>
      </w:r>
    </w:p>
    <w:p>
      <w:r>
        <w:t>Die Rechtslage hinsichtlich einer Ermessenstaxation ist bei den Staats- und Gemeindesteuern dieselbe wie bei der direkten Bundessteuer: Nach Art. 46 Abs. 3 StHG bzw. § 139 Abs. 2 des Steuergesetzes [des Kantons Zürich] vom 8. Juni 1997 (StG/ZH; LS 631.1) ist eine solche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die Einsprache ist zu begründen und muss allfällige Beweismittel nennen (vgl. Art. 48 Abs. 2 StHG und § 140 Abs. 2 StG /ZH). Diese Vorschriften stimmen wörtlich überein mit den entsprechenden Bestimmungen über die direkte Bundessteuer (Art. 130 Abs. 2 bzw. Art. 132 Abs. 3 DBG ). Das für die direkte Bundessteuer Ausgeführte gilt somit auch für die Staats- und Gemeindesteuern, und es kann auf die vorstehenden Erwägungen hierzu verwiesen werden.</w:t>
      </w:r>
    </w:p>
    <w:p>
      <w:r>
        <w:rPr>
          <w:b/>
        </w:rPr>
        <w:t>E. 4.2</w:t>
      </w:r>
    </w:p>
    <w:p>
      <w:r>
        <w:t>Die Beschwerde in öffentlich-rechtlichen Angelegenheiten ist daher auch betreffend die Staats- und Gemeindesteuern abzuweisen.</w:t>
      </w:r>
    </w:p>
    <w:p>
      <w:r>
        <w:t>III. Kosten und Entschädigung</w:t>
      </w:r>
    </w:p>
    <w:p>
      <w:r>
        <w:rPr>
          <w:b/>
        </w:rPr>
        <w:t>E. 5</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