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1181/2013 vom 20. Dezember 2013</w:t>
      </w:r>
    </w:p>
    <w:p>
      <w:r>
        <w:t>Bundesgericht, 2013-12-20, IT</w:t>
      </w:r>
    </w:p>
    <w:p>
      <w:r>
        <w:rPr>
          <w:b/>
        </w:rPr>
        <w:t xml:space="preserve">Quelle: </w:t>
      </w:r>
      <w:r>
        <w:t>https://mcp.opencaselaw.ch/entscheid/bger_2C_1181_2013</w:t>
      </w:r>
    </w:p>
    <w:p>
      <w:r>
        <w:t>FR: TF 2C 1181/2013 du 20 décembre 2013</w:t>
      </w:r>
    </w:p>
    <w:p>
      <w:r>
        <w:t>IT: TF 2C 1181/2013 del 20 dicembre 2013</w:t>
      </w:r>
    </w:p>
    <w:p>
      <w:pPr>
        <w:pStyle w:val="Heading2"/>
      </w:pPr>
      <w:r>
        <w:t>Regeste</w:t>
      </w:r>
    </w:p>
    <w:p>
      <w:r>
        <w:t>Imposta cantonale 2006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137 I 371 consid. 1 pag. 372 e rinvio).</w:t>
      </w:r>
    </w:p>
    <w:p>
      <w:r>
        <w:rPr>
          <w:b/>
        </w:rPr>
        <w:t>E. 1.2</w:t>
      </w:r>
    </w:p>
    <w:p>
      <w:r>
        <w:t>Il ricorso, trattato quale ricorso in materia di diritto pubblico (sentenza 2C_965/2013 del 24 ottobre 2013, consid. 2 e rinvii), è stato registrato sotto i riferimenti 2C_1181/2013 e 2C_1182/2013 per distinguere le imposte cantonali e l'imposta federale diretta. Siccome lo stato di fatto e i quesiti giuridici sono identici, si giustifica tuttavia di congiungere gli incarti e di emanare un unico giudizio (sentenze 2C_415/2012 del 2 novembre 2012 consid. 1.1).</w:t>
      </w:r>
    </w:p>
    <w:p>
      <w:r>
        <w:rPr>
          <w:b/>
        </w:rPr>
        <w:t>E. 2.1</w:t>
      </w:r>
    </w:p>
    <w:p>
      <w:r>
        <w:t>Il ricorrente ha sottoposto a questa Corte una dichiarazione da cui risulterebbe in modo inequivocabile che l'avente diritto economico del conto bancario estero sarebbe il proprio padre.</w:t>
      </w:r>
    </w:p>
    <w:p>
      <w:r>
        <w:rPr>
          <w:b/>
        </w:rPr>
        <w:t>E. 2.2</w:t>
      </w:r>
    </w:p>
    <w:p>
      <w:r>
        <w:t>Per consolidata prassi, dinanzi al Tribunale federale possono essere addotti nuovi fatti e nuovi mezzi di prova soltanto se ne dà motivo la decisione impugnata, ciò che la parte ricorrente deve debitamente esporre nel proprio gravame ( art. 99 cpv. 1 LTF ; DTF 136 III 261 consid. 4.1 pag. 266; 133 IV 343 consid. 2.1 pag. 343 seg.). Nella fattispecie il ricorrente non spiega perché i presupposti previsti da tale norma sarebbero in concreto dati, non illustra cioè perché la produzione della dichiarazione in questione si è giustificata solo a seguito dell'emanazione della pronuncia impugnata: il documento allegato al proprio gravame è quindi irricevibile.</w:t>
      </w:r>
    </w:p>
    <w:p>
      <w:r>
        <w:rPr>
          <w:b/>
        </w:rPr>
        <w:t>E. 3.1</w:t>
      </w:r>
    </w:p>
    <w:p>
      <w:r>
        <w:t>Conformemente all' art. 42 LTF il ricorso deve contenere le conclusioni, i motivi e l'indicazione dei mezzi di prova (cpv. 1) e dev'essere motivato in modo sufficiente, spiegando nei motivi perché l'atto impugnato viola il diritto (cpv. 2; DTF 134 II 244 consid. 2.1 pag. 245; 133 II 249 consid. 1.4.1 pag. 254). Nell'allegato ricorsuale occorre quindi indicare in maniera concisa perché l'atto impugnato viola il diritto applicabile; la motivazione deve essere riferita all'oggetto del litigio, in modo che si capisca perché e su quali punti la decisione contestata è impugnata ( DTF 134 II 244 consid. 2.1 pag. 245.). Ciò significa che la parte ricorrente non può limitarsi a riproporre genericamente argomenti giuridici già esposti dinanzi alle autorità cantonali, bensì deve confrontarsi criticamente con i considerandi della decisione dell'autorità inferiore che reputa lesivi del diritto (cfr. DTF 133 IV 119 consid. 6.3 pag. 120 seg.).</w:t>
      </w:r>
    </w:p>
    <w:p>
      <w:r>
        <w:rPr>
          <w:b/>
        </w:rPr>
        <w:t>E. 3.2</w:t>
      </w:r>
    </w:p>
    <w:p>
      <w:r>
        <w:t>Nel caso concreto il ricorso non adempie manifestamente queste esigenze di motivazione: il ricorrente si limita infatti a spiegare perché il mezzo di prova esibito dinanzi a questa Corte non è stato sottoposto all'autorità precedente. Il ricorso, che non contiene una motivazione topica riferita al tema della causa, si rivela quindi inammissibile e può essere deciso sulla base della procedura semplificata dell' art. 108 cpv. 1 lett. b LTF .</w:t>
      </w:r>
    </w:p>
    <w:p>
      <w:r>
        <w:rPr>
          <w:b/>
        </w:rPr>
        <w:t>E. 4</w:t>
      </w:r>
    </w:p>
    <w:p>
      <w:r>
        <w:t>Le spese seguono la soccombenza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