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117/2021 vom 11. Februar 2021</w:t>
      </w:r>
    </w:p>
    <w:p>
      <w:r>
        <w:t>Bundesgericht, 2021-02-11, DE</w:t>
      </w:r>
    </w:p>
    <w:p>
      <w:r>
        <w:rPr>
          <w:b/>
        </w:rPr>
        <w:t xml:space="preserve">Quelle: </w:t>
      </w:r>
      <w:r>
        <w:t>https://mcp.opencaselaw.ch/entscheid/bger_2C_117_2021</w:t>
      </w:r>
    </w:p>
    <w:p>
      <w:r>
        <w:t>FR: TF 2C 117/2021 du 11 février 2021</w:t>
      </w:r>
    </w:p>
    <w:p>
      <w:r>
        <w:t>IT: TF 2C 117/2021 del 11 febbraio 2021</w:t>
      </w:r>
    </w:p>
    <w:p>
      <w:pPr>
        <w:pStyle w:val="Heading2"/>
      </w:pPr>
      <w:r>
        <w:t>Regeste</w:t>
      </w:r>
    </w:p>
    <w:p>
      <w:r>
        <w:t>Staats- und Gemeindesteuern des Kantons Aargau, Steuerperiode 2017, Ordnungsbusse | Öffentliche Finanzen &amp; Abgaberecht</w:t>
      </w:r>
    </w:p>
    <w:p>
      <w:pPr>
        <w:pStyle w:val="Heading2"/>
      </w:pPr>
      <w:r>
        <w:t>Erwägungen</w:t>
      </w:r>
    </w:p>
    <w:p>
      <w:r>
        <w:rPr>
          <w:b/>
        </w:rPr>
        <w:t>E. 1.1</w:t>
      </w:r>
    </w:p>
    <w:p>
      <w:r>
        <w:t>Die Voraussetzungen der Beschwerde in öffentlich-rechtlichen Angelegenheiten liegen vor (Art. 82 lit. a, Art. 83 e contrario, Art. 86 Abs. 1 lit. d und Abs. 2, Art. 89 Abs. 1, Art. 90 und Art. 100 Abs. 1 BGG in Verbindung Art. 73 StHG [SR 642.14]). Auf die Beschwerde ist einzutreten. Für eine die Einheitsbeschwerde ergänzende oder ersetzende subsidiäre Verfassungsbeschwerde bleibt kein Raum.</w:t>
      </w:r>
    </w:p>
    <w:p>
      <w:r>
        <w:rPr>
          <w:b/>
        </w:rPr>
        <w:t>E. 1.2</w:t>
      </w:r>
    </w:p>
    <w:p>
      <w:r>
        <w:t>Das Bundesgericht wendet das Bundesgesetzesrecht von Amtes wegen an ( Art. 106 Abs. 1 BGG ; BGE 146 IV 88 E. 1.3.2 S. 92) und prüft es mit uneingeschränkter (voller) Kognition ( Art. 95 lit. a BGG ; BGE 145 I 239 E. 2 S. 241).</w:t>
      </w:r>
    </w:p>
    <w:p>
      <w:r>
        <w:rPr>
          <w:b/>
        </w:rPr>
        <w:t>E. 1.3</w:t>
      </w:r>
    </w:p>
    <w:p>
      <w:r>
        <w:t>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145 I 108 E. 4.4.1 S. 112 f.). Zum Bundesrecht in diesem Sinn zählen auch die verfassungsmässigen Individualrechte. Bei der Überprüfung des rein kantonalen oder kommunalen Rechts steht regelmässig die Prüfung des allgemeinen Willkürverbots ( Art. 9 BV ) im Vordergrund ( BGE 146 I 11 E. 3.1.3 S. 14).</w:t>
      </w:r>
    </w:p>
    <w:p>
      <w:r>
        <w:rPr>
          <w:b/>
        </w:rPr>
        <w:t>E. 1.4</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146 III 303 E. 2 S. 305). Die beschwerdeführende Person hat daher klar und detailliert anhand der Erwägungen des angefochtenen Entscheids darzulegen, dass und inwiefern verfassungsmässige Individualrechte verletzt worden sein sollen ( BGE 146 I 62 E. 3 S. 65). Wird eine solche Verfassungsrüge nicht vorgebracht, kann das Bundesgericht eine Beschwerde selbst dann nicht gutheissen, wenn eine Verfassungsverletzung tatsächlich vorliegt ( BGE 143 II 283 E. 1.2.2 S. 286). Auf bloss allgemein gehaltene, appellatorische Kritik an einem vorinstanzlichen Entscheid geht das Bundesgericht nicht ein ( BGE 146 IV 88 E. 1.3.1 S. 92).</w:t>
      </w:r>
    </w:p>
    <w:p>
      <w:r>
        <w:rPr>
          <w:b/>
        </w:rPr>
        <w:t>E. 1.5</w:t>
      </w:r>
    </w:p>
    <w:p>
      <w:r>
        <w:t>Das Bundesgericht legt seinem Urteil den Sachverhalt zugrunde, den die Vorinstanz festgestellt hat ( Art. 105 Abs. 1 BGG ; BGE 146 IV 114 E. 2.1 S. 118).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146 I 83 E. 1.3 S. 86). "Offensichtlich unrichtig" ist mit "willkürlich" gleichzusetzen (zum Ganzen: BGE 146 IV 88 E. 1.3.1 S. 91 f.). Tatfrage ist auch die Beweiswürdigung, namentlich die antizipierte Beweiswürdigung ( BGE 146 V 240 E. 8.2 S. 249). Die Anfechtung der vorinstanzlichen Feststellungen unterliegt der qualifizierten Rüge- und Begründungsobliegenheit ( BGE 146 III 73 E. 5.2.2 S. 80; vorne E. 1.4). Wird die Beschwerde diesen Anforderungen nicht gerecht, bleibt es beim vorinstanzlich festgestellten Sachverhalt ( BGE 140 III 16 E. 1.3.1 S. 18).</w:t>
      </w:r>
    </w:p>
    <w:p>
      <w:r>
        <w:rPr>
          <w:b/>
        </w:rPr>
        <w:t>E. 2.1</w:t>
      </w:r>
    </w:p>
    <w:p>
      <w:r>
        <w:t>Streitig und zu prüfen sind insbesondere die vorinstanzliche Auslegung und Anwendung von § 26 des Gesetzes (des Kantons Aargau) vom 4. Dezember 2007 über die Verwaltungsrechtspflege (VRPG/AG; SAR 271.200) sowie § 180 und § 235 des Steuergesetzes (des Kantons Aargau) vom 15. Dezember 1998 (StG/AG; SAR 651.100). Nachdem der Steuerpflichtige in seiner dicht bedruckten, in kleiner Schrift gehaltenen Eingabe eine beträchtliche Zahl von Beanstandungen vorbringt, ist er vorab auf folgendes hinzuweisen: Der Anspruch auf rechtliches Gehör ( Art. 29 Abs. 2 BV ) verlangt, dass eine Behörde die Vorbringen der vom Entscheid in ihrer Rechtsstellung betroffenen Person tatsächlich hört, prüft und in der Entscheidfindung berücksichtigt. Der Entscheid ist zu begründen, was aber nicht heisst, dass die Behörde sich mit allen Parteistandpunkten einlässlich auseinanderzusetzen und jede einzelne Beanstandung ausdrücklich zu widerlegen hätte. Vielmehr darf sie sich auf die für den Entscheid wesentlichen Punkte beschränken ( BGE 146 II 335 E. 5.1 S. 341; 145 IV 99 E. 3.1 S. 109; 143 III 65 E. 5.2 S. 70; 142 II 154 E. 4.2 S. 157 ; 138 I 232 E. 5.1 S. 237). Begründungspflichtig ist damit einzig das Ergebnis des Entscheids, das im Dispositiv zum Ausdruck kommt und das allein die Rechtsstellung der betroffenen Person berührt ( BGE 145 III 324 E. 6. 1 S. 326).</w:t>
      </w:r>
    </w:p>
    <w:p>
      <w:r>
        <w:rPr>
          <w:b/>
        </w:rPr>
        <w:t>E. 2.2.1</w:t>
      </w:r>
    </w:p>
    <w:p>
      <w:r>
        <w:t>Formelle Rügen und Sachverhaltsrügen können ungeachtet der materiellen Begründetheit des Rechtsmittels zur Gutheissung der Beschwerde und zur Aufhebung des angefochtenen Entscheids führen, weshalb sie vorab zu behandeln sind (Urteil 2C_196/2017 vom 21. Februar 2019 E. 3, nicht publ. in: BGE 145 II 49 ; BGE 141 V 557 E. 3 S. 563). Der Steuerpflichtige macht im Zusammenhang mit den vorinstanzlichen Feststellungen unter vielem anderen geltend, weder sei ihm das Steuererklärungsformular am 25. Januar 2018 zugestellt worden (Ziff. 3.1.1 der Beschwerde) noch habe die Gemeinde ihm im Schreiben vom 24. September 2018 dargelegt, dass er von Gesetzes wegen verpflichtet sei, die Steuererklärung zur Steuerperiode 2017 einzureichen (Ziff. 3.1.2). Weiter soll der Sachverhalt offensichtlich unrichtig erhoben worden sei, indem die Vorinstanz die Beanstandungen zur "formlosen Anordnung" vom 9. November 2018 nicht berücksichtigt habe (Ziff. 17.1.4). Alsdann habe er sich zur Anklageschrift durchaus geäussert (Ziff. 17.1.5.2.2). Unberücksichtigt geblieben sei etwa auch der Umstand, dass er am 29. Oktober 2018 das Beiblatt "Kommentiertes Beilagenverzeichnis" zusätzlich zu den "relativ zahlreichen für andere Bezugsjahre bereits abgegebenen Steuererklärungen" eingereicht habe (Ziff. 17.1.6.1.4). Die Fertigstellung der Steuererklärung zur Steuerperiode 2017 hätte ihn "unzumutbar viel Zeit gekostet" (Ziff. 17.1.6.1.6). Das Schreiben der Arztpraxis vom 18. Juni 2018 belege, dass er "im Hinblick auf Abgabe der aktenkundig nicht einfachen und unnötig unzumutbar viel Zeit kostenden Steuererklärungen ernsthaft, zunehmend und dauerhaft gehandicapt" sei (Ziff. 17.1.6.1.8).</w:t>
      </w:r>
    </w:p>
    <w:p>
      <w:r>
        <w:rPr>
          <w:b/>
        </w:rPr>
        <w:t>E. 2.2.2</w:t>
      </w:r>
    </w:p>
    <w:p>
      <w:r>
        <w:t>Die zahlreichen sachverhaltlichen Rügen wiederholen sich. Die Vorbringen sind teils verständlich, nicht selten aber wirr. Hier von Bedeutung ist nur, dass der vorinstanzlich festgestellte Sachverhalt für das Bundesgericht verbindlich ist ( Art. 105 Abs. 1 BGG ; vorne E. 1.5), solange und soweit eine beschwerdeführende Person in Befolgung der sie treffenden qualifizierten Rüge- und Begründungspflicht nicht aufzeigt, dass und inwiefern die vorinstanzlichen Feststellungen offensichtlich unrichtig und damit willkürlich sein könnten ( Art. 106 Abs. 2 BGG ; vorne E. 1.4). Die Einwände des Steuerpflichtigen, soweit sie überhaupt von entscheidwesentlicher Bedeutung sein könnten, bleiben durchwegs an der Oberfläche und im rein Appellatorischen verhaftet. Den vorinstanzlichen Feststellungen in aufzählender Darstellung seine eigene Sichtweise entgegenzuhalten, ohne sich detailliert mit der Verfassungsfrage auseinanderzusetzen, ist von vornherein ungeeignet, um eine Verfassungsverletzung nachzuweisen. Selbst unter Berücksichtigung dessen, dass eine Laienbeschwerde vorliegt, weswegen die formellen Anforderungen praxisgemäss niedriger anzusetzen sind (Urteil 2C_1053/2020 vom 22. Dezember 2020 E. 2.3.2), hat es dabei zu bleiben, dass keinerlei hinreichende Sachverhaltsrügen ersichtlich sind. Das Bundesgericht hat daher in tatsächlicher Hinsicht von den vorinstanzlichen Feststellungen auszugehen (vorne E. 1.5).</w:t>
      </w:r>
    </w:p>
    <w:p>
      <w:r>
        <w:rPr>
          <w:b/>
        </w:rPr>
        <w:t>E. 2.3.1</w:t>
      </w:r>
    </w:p>
    <w:p>
      <w:r>
        <w:t>In der Sache selbst rügt der Steuerpflichtige eine "nicht hinreichend begründete und nicht vollständige Rechtsmittelbelehrung" (Ziff. 17.1.2 der Beschwerde), eine "nicht ausschliesslich auf dem Strafbefehl basierende Anklage und eine für die Verhandlung unbrauchbare Anklageschrift" (Ziff. 17.1.15), ein fehlerhaftes Mahnverfahren (Ziff. 17.1.6), die "Verletzung gesetzlicher Verfahrenspflichten" (Ziff. 17.1.7), die unzutreffende Protokollierung der Verhandlung vom 27. August 2020 (Ziff. 17.1.10), die Aktenführung (Ziff. 17.1.11) und schliesslich die fehlende Zusprechung von Schadenersatz (Ziff. 17.1.8). Die Kritik holt auch in diesen Fragen weit aus, sie ist aber nur zu hören, soweit Fragen angesprochen sind, deren Grundlage im Bundesgesetzesrecht liegt ( Art. 106 Abs. 1 BGG ; vorne E. 1.2). Die übrigen Aspekte sind rein verfassungsrechtlicher oder kantonalrechtlicher Natur, weshalb die Kritik insofern der qualifizierten Rüge- und Begründungsobliegenheit zu genügen hätte ( Art. 106 Abs. 2 BGG ; vorne E. 1.3 und 1.4). Wie schon im Bereich der Sachverhaltsrügen ist auch hier festzustellen, dass der Steuerpflichtige rein appellatorische Beanstandungen vorträgt, die an der sich stellenden Verfassungsfrage vorbeizielen und daher zur Sache nichts beitragen.</w:t>
      </w:r>
    </w:p>
    <w:p>
      <w:r>
        <w:rPr>
          <w:b/>
        </w:rPr>
        <w:t>E. 2.3.2</w:t>
      </w:r>
    </w:p>
    <w:p>
      <w:r>
        <w:t>Gemäss Art. 55 StHG wird mit einer Busse bis zu Fr. 1'000.--, in schweren Fällen oder bei Rückfall mit bis zu Fr. 10'000.-- bestraft, wer einer Pflicht, die ihm nach den Vorschriften des Harmonisierungsgesetzes oder nach einer aufgrund dieses Gesetzes getroffenen Anordnung obliegt, trotz Mahnung vorsätzlich oder fahrlässig nicht nachkommt. Der Gesetzgeber des Kantons Aargau hat die harmonisierungsrechtliche Vorgabe in § 235 Abs. 1 StG /AG überführt. Die Vorinstanz hält den objektiven Tatbestand von § 235 Abs. 1 StG /AG für gegeben und geht hinsichtlich des subjektiven Tatbestands von zumindest eventualvorsätzlichem Verhalten des Steuerpflichtigen aus (Sachverhalt, lit. D.c). Der Steuerpflichtige beanstandet die vorinstanzliche Anwendung von § 235 Abs. 1 StG /AG in einem ersten Schritt dahingehend, dass den Mitwirkungspflichten nur unterliege, wer überhaupt subjektiv steuerpflichtig sei ( § 180 Abs. 2 StG /AG). Er habe aber gar nicht wissen können, dass er steuerpflichtig sei, weil dies aus den amtlichen Schriftstücken nicht ausdrücklich hervorgegangen sei (Ziff. 3.1.2.1.2 der Beschwerde). Dies überzeugt in keiner Weise: Die Vorinstanz hat zwar nicht festgestellt, seit wann der Steuerpflichtige im Kanton Aargau bereits steuerpflichtig ist, doch hat der Steuerpflichtige selbst die Unnötigkeit einer Steuererklärung damit begründet, dass "eine neue Veranlagung nicht nötig sei", weil seine finanziellen Verhältnisse keine namhafte Veränderung erfahren hätten (Sachverhalt, lit. A und Ziff. 17.1.6.1.4). Das angebliche Nichtwissen um die Steuerpflicht ist daher vorgeschoben. Es vermöchte ohnehin nichts zu ändern ("Nichtwissen schützt nicht"; Urteil 2C_576/2020 vom 17. August 2020 E. 3.3.2).</w:t>
      </w:r>
    </w:p>
    <w:p>
      <w:r>
        <w:rPr>
          <w:b/>
        </w:rPr>
        <w:t>E. 2.3.3</w:t>
      </w:r>
    </w:p>
    <w:p>
      <w:r>
        <w:t>Überdies steht fest, dass die kommunale Behörde zwei Mahnungen ausgesprochen hat (Sachverhalt, lit. B), weshalb der Steuerpflichtige wissen musste, dass er als Steuersubjekt betrachtet wird. Inwiefern das bundesrechtlich vorgeschriebene Mahnverfahren den gesetzlichen Anforderungen nicht genügen könnte, wie der Steuerpflichtige weitgehend pauschal vorbringt, bleibt unklar. Der Steuerpflichtige bezieht sich in diesem Zusammenhang auf ein Schreiben der Arztpraxis vom 18. Juni 2018, welches belege, dass er "im Hinblick auf Abgabe der aktenkundig nicht einfachen und unnötig unzumutbar viel Zeit kostenden Steuererklärungen ernsthaft, zunehmend und dauerhaft gehandicapt" sei (Sachverhalt, lit. A; vorne E. 2.2.1 und Ziff. 17.1.6.1.8 der Beschwerde). Er scheint damit dartun zu wollen, dass er aus gesundheitlichen Gründen nicht in der Lage gewesen sei, die Steuererklärung einzureichen. Ihm ist entgegenzuhalten, dass eine Krankheit als Hinderungsgrund praxisgemäss nur angerufen werden kann, wenn die Beeinträchtigung derart erheblich ausfällt, dass die steuerpflichtige Person durch sie davon abgehalten wird, innert Frist zu handeln oder eine Drittperson mit der notwendigen Vertretung zu betrauen ( BGE 119 II 86 E. 2 S. 87; 112 V 255 E. 2a S. 255 f.; Urteil 2C_847/2020 vom 10. November 2020 E. 3.2.2). Der Umstand, dass der Steuerpflichtige im fraglichen Zeitraum mehrere Schriftstücke zu verfassen vermochte und darin zahlreiche Einwände vortrug, vermag das Vorgehen der kantonalen Behörden jedenfalls nicht als verfassungsrechtlich unhaltbar darzustellen.</w:t>
      </w:r>
    </w:p>
    <w:p>
      <w:r>
        <w:rPr>
          <w:b/>
        </w:rPr>
        <w:t>E. 2.3.4</w:t>
      </w:r>
    </w:p>
    <w:p>
      <w:r>
        <w:t>Mit Blick darauf ist die Auslegung und Anwendung von Art. 55 StHG bzw. des harmonisierungskonformen § 235 StG /AG nicht zu beanstanden. Die Bemessung der Busse, die mit Fr. 50.-- sehr moderat ausgefallen ist, hat der Steuerpflichtige im kantonalen Verfahren nicht gerügt (Sachverhalt, lit. D.c). Auf die rein verfassungs- und kantonalrechtlichen Rügen ist, wie dargelegt, mangels erfüllter prozessualer Voraussetzungen nicht einzugehen (vorne E. 2.3.1).</w:t>
      </w:r>
    </w:p>
    <w:p>
      <w:r>
        <w:rPr>
          <w:b/>
        </w:rPr>
        <w:t>E. 2.4</w:t>
      </w:r>
    </w:p>
    <w:p>
      <w:r>
        <w:t>Die Beschwerde ist unbegründet und daher abzuweisen, soweit darauf einzutreten ist. Mit dem vorliegenden Entscheid wird das Gesuch, der Beschwerde sei die aufschiebende Wirkung zuzuerkennen ( Art. 103 Abs. 3 BGG ), gegenstandslos ( BGE 144 V 388 E. 10 S. 410).</w:t>
      </w:r>
    </w:p>
    <w:p>
      <w:r>
        <w:rPr>
          <w:b/>
        </w:rPr>
        <w:t>E. 3</w:t>
      </w:r>
    </w:p>
    <w:p>
      <w:r>
        <w:t>Nach dem Unterliegerprinzip sind die Kosten des bundesgerichtlichen Verfahrens der unterliegenden Partei aufzuerlegen ( Art. 65 und Art. 66 Abs. 1 Satz 1 BGG ). Das im vorliegenden Verfahren erhobene Gesuch um Erteilung des Rechts zur unentgeltlichen Rechtspflege ( Art. 29 Abs. 3 BV bzw. Art. 64 Abs. 1 und 2 BGG ) erweist sich mit Blick auf die gestellten Anträge von vornherein als aussichtslos. Das Gesuch ist abzuweisen. Praxisgemäss werden die Kosten des bundesgerichtlichen Verfahrens reduziert, wenn erst zusammen mit dem Endentscheid über das Gesuch um unentgeltliche Rechtspflege entschieden wird. Für einen irgendwie gearteten "Schadenersatz", den der Steuerpflichtige darüber hinaus auch im bundesgerichtlichen Verfahren beantragt, bleibt kein Raum.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