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117/2008 vom 17. April 2008</w:t>
      </w:r>
    </w:p>
    <w:p>
      <w:r>
        <w:t>Bundesgericht, 2008-04-17, FR</w:t>
      </w:r>
    </w:p>
    <w:p>
      <w:r>
        <w:rPr>
          <w:b/>
        </w:rPr>
        <w:t xml:space="preserve">Quelle: </w:t>
      </w:r>
      <w:r>
        <w:t>https://mcp.opencaselaw.ch/entscheid/bger_2C_117_2008</w:t>
      </w:r>
    </w:p>
    <w:p>
      <w:r>
        <w:t>FR: TF 2C 117/2008 du 17 avril 2008</w:t>
      </w:r>
    </w:p>
    <w:p>
      <w:r>
        <w:t>IT: TF 2C 117/2008 del 17 aprile 2008</w:t>
      </w:r>
    </w:p>
    <w:p>
      <w:pPr>
        <w:pStyle w:val="Heading2"/>
      </w:pPr>
      <w:r>
        <w:t>Regeste</w:t>
      </w:r>
    </w:p>
    <w:p>
      <w:r>
        <w:t>Révocation d'une 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analogie, la présente affaire doit être examinée à la lumière de l'ancienne loi fédérale sur le séjour et l'établissement des étrangers.</w:t>
      </w:r>
    </w:p>
    <w:p>
      <w:r>
        <w:rPr>
          <w:b/>
        </w:rPr>
        <w:t>E. 2</w:t>
      </w:r>
    </w:p>
    <w:p>
      <w:r>
        <w:t>L'autorisation de séjour de la recourante est échue le 10 août 2007, durant la procédure de recours cantonale. C'est donc à bon droit que l'autorité intimée a traité la cause sous l'angle du renouvellement de l'autorisation de séjour. Dans le cadre de la présente procédure, la cause doit également être examinée sous cet angle.</w:t>
      </w:r>
    </w:p>
    <w:p>
      <w:r>
        <w:rPr>
          <w:b/>
        </w:rPr>
        <w:t>E. 3.1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ATF 126 II 265 consid. 1b p. 266 s'agissant du recours de droit administratif au sens des art. 97 ss de l'ancienne loi fédérale d'organisation judiciaire du 16 décembre 1943 [OJ; en vigueur jusqu'au 31 décembre 2006]). La recourante est mariée à un Suisse. Son recours est donc recevable sous cet angle.</w:t>
      </w:r>
    </w:p>
    <w:p>
      <w:r>
        <w:rPr>
          <w:b/>
        </w:rPr>
        <w:t>E. 3.2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de dernière instance (art. 86 al. 1 lettre d LTF). Déposé dans le délai ( art. 100 al. 1 LTF ) et la forme ( art. 42 LTF ) prévus par la loi, il est en principe recevable.</w:t>
      </w:r>
    </w:p>
    <w:p>
      <w:r>
        <w:rPr>
          <w:b/>
        </w:rPr>
        <w:t>E. 4</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 L'existence d'un abus de droit découlant du fait de se prévaloir de l' art. 7 al. 1 LSEE ne peut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5</w:t>
      </w:r>
    </w:p>
    <w:p>
      <w:r>
        <w:t>Le droit d'être entendu, tel qu'il est garanti par l' art. 29 al. 2 Cst. , comprend notamment le droit pour l'intéressé de produire des preuves pertinentes et d'obtenir qu'il soit donné suite à ses offres de preuves pertinentes ( ATF 133 I 270 consid. 3.1 p. 277; 127 V 431 consid. 3a p. 436; 124 II 132 consid. 2b p. 137).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130 II 425 consid. 2.1 p. 429; 119 Ib 492 consid. 5b/bb p. 505/ 506). Le droit d'être entendu implique également pour l'autorité l'obligation de motiver sa décision. L'autorité ne doit toutefois pas se prononcer sur tous les moyens des parties; elle peut se limiter aux questions décisives ( ATF 133 I 270 consid. 3.1 p. 277; 133 III 439 consid. 3.3 p. 445; 130 II 473 consid. 4.1 p. 477).</w:t>
      </w:r>
    </w:p>
    <w:p>
      <w:r>
        <w:rPr>
          <w:b/>
        </w:rPr>
        <w:t>E. 6.1</w:t>
      </w:r>
    </w:p>
    <w:p>
      <w:r>
        <w:t>La recourante reproche à l'autorité intimée d'avoir admis, sans faire preuve de la retenue commandée par la jurisprudence, qu'il était abusif de sa part de se prévaloir de son mariage. Elle fait valoir que son union avec Y.________ ne constituait pas un mariage de complaisance. En outre, elle ne commettrait pas un abus de droit en se prévalant de son mariage, car il existerait encore un espoir de réconciliation, ce que l'autorité intimée aurait pu constater en tenant une audience et en entendant des témoins, comme elle l'avait requis. Le refus de procéder à ces mesures d'instruction constituerait une violation de son droit d'être entendue.</w:t>
      </w:r>
    </w:p>
    <w:p>
      <w:r>
        <w:rPr>
          <w:b/>
        </w:rPr>
        <w:t>E. 6.2</w:t>
      </w:r>
    </w:p>
    <w:p>
      <w:r>
        <w:t>Le point déterminant est la question de savoir s'il y a encore un espoir de réconciliation entre les époux X-Y.________, de sorte que leur union ne serait pas rompue définitivement et qu'il ne serait pas abusif de la part de la recourante de s'en prévaloir. Les autorités cantonales n'ont en revanche jamais prétendu que le mariage en question aurait été fictif ou de complaisance, de sorte que cette question n'a pas à être examinée plus avant. Dans son recours du 17 août 2007 à l'autorité intimée, la recourante a demandé son audition ainsi que celle d'un ami de son père, résidant à Yverdon-les-Bains, qui l'avait accueillie lors de sa séparation d'avec son mari. Cette personne aurait pu confirmer "quels ont été et quels sont les sentiments de la recourante à l'endroit de M. Y.________" (p. 5). Son témoignage devait "exclure définitivement tout doute [...] sur la sincérité du mariage" (p. 10 s.). S'agissant de la possibilité d'une réconciliation, la recourante s'est limitée à affirmer que "tout espoir de réconciliation n'est pas perdu, pour autant que les époux acceptent que leur amour s'est transformé" (p. 5). L'autorité intimée pouvait ainsi admettre, en procédant à une appréciation anticipée des preuves, que les mesures d'instruction requises ne l'amèneraient pas à modifier son opinion sur le point seul déterminant des perspectives de réconciliation. Partant, elle n'a pas violé le droit d'être entendue de la recourante en renonçant à la tenue d'une audience et à l'audition du témoin précité. Les époux X-Y.________ n'ont vécu ensemble que durant environ deux ans (de mars 2004 à mai 2006 au plus tard). Lorsque l'autorité intimée a statué, ils étaient séparés depuis une année et demie environ et la recourante n'a fait valoir aucun indice concret et sérieux de reprise de la vie commune. Dans ces conditions, l'autorité intimée pouvait admettre que l'union était définitivement rompue et qu'il était abusif de la part de la recourante de s'en prévaloir dans le seul but de s'opposer à la révocation de son autorisation de séjour. Partant, le grief de violation de l' art. 7 LSEE est mal fondé.</w:t>
      </w:r>
    </w:p>
    <w:p>
      <w:r>
        <w:rPr>
          <w:b/>
        </w:rPr>
        <w:t>E. 7.1</w:t>
      </w:r>
    </w:p>
    <w:p>
      <w:r>
        <w:t>La recourante voit une autre violation de son droit d'être entendue dans le fait que l'autorité intimée n'aurait pas examiné son argumentation selon laquelle l'autorité de première instance se serait fondée à tort sur l' art. 4 LSEE pour rendre une décision de révocation, de sorte que celle-ci serait illicite. Elle fait valoir, en effet, que ce grief était essentiel ou à tout le moins pertinent.</w:t>
      </w:r>
    </w:p>
    <w:p>
      <w:r>
        <w:rPr>
          <w:b/>
        </w:rPr>
        <w:t>E. 7.2</w:t>
      </w:r>
    </w:p>
    <w:p>
      <w:r>
        <w:t>Quoi qu'en dise la recourante, le grief en question n'était plus pertinent à partir du moment où, l'autorisation de séjour révoquée étant échue durant la procédure de recours cantonale, la cause devait être traitée sous l'angle du renouvellement et non plus de la révocation de ladite autorisation (cf. consid. 2). Au demeurant, l'autorité intimée a (aussi) confirmé la décision de révocation en la fondant sur le seul art. 9 al. 2 lettre b LSEE . Ce faisant, elle a tenu compte implicitement du grief de la recourante selon lequel cette décision n'aurait pu reposer sur l' art. 4 LSEE . Le recours est donc mal fondé également sur ce point.</w:t>
      </w:r>
    </w:p>
    <w:p>
      <w:r>
        <w:rPr>
          <w:b/>
        </w:rPr>
        <w:t>E. 8</w:t>
      </w:r>
    </w:p>
    <w:p>
      <w:r>
        <w:t>La recourante soutient encore que la décision attaquée serait arbitraire dans la mesure où l'autorité intimée a refusé de procéder aux mesures d'instruction requises et a omis de se prononcer sur le grief pertinent tiré de la violation de l' art. 4 LSEE . Ce grief se confond avec les précédents, de sorte qu'il n'a pas à être examiné plus avant.</w:t>
      </w:r>
    </w:p>
    <w:p>
      <w:r>
        <w:rPr>
          <w:b/>
        </w:rPr>
        <w:t>E. 9</w:t>
      </w:r>
    </w:p>
    <w:p>
      <w:r>
        <w:t>Les considérants qui précèdent conduisent au rejet du recours. Les conclusions de la recourante apparaissant dénuées de toutes chances de succès, la requête d'assistance judiciaire doit être rejetée ( art. 64 al. 1 LTF a contrario). Succombant, la recourante supporte les frais judiciaires ( art. 66 al. 1 LTF ) et n'a pas droit à des dépens ( art. 68 al. 1 LTF ). Les frais de justice seront fixés compte tenu de sa situation financière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