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1172/2014 vom 22. Juni 2015</w:t>
      </w:r>
    </w:p>
    <w:p>
      <w:r>
        <w:t>Bundesgericht, 2015-06-22, FR</w:t>
      </w:r>
    </w:p>
    <w:p>
      <w:r>
        <w:rPr>
          <w:b/>
        </w:rPr>
        <w:t xml:space="preserve">Quelle: </w:t>
      </w:r>
      <w:r>
        <w:t>https://mcp.opencaselaw.ch/entscheid/bger_2C_1172_2014</w:t>
      </w:r>
    </w:p>
    <w:p>
      <w:r>
        <w:t>FR: TF 2C 1172/2014 du 22 juin 2015</w:t>
      </w:r>
    </w:p>
    <w:p>
      <w:r>
        <w:t>IT: TF 2C 1172/2014 del 22 giugno 2015</w:t>
      </w:r>
    </w:p>
    <w:p>
      <w:pPr>
        <w:pStyle w:val="Heading2"/>
      </w:pPr>
      <w:r>
        <w:t>Regeste</w:t>
      </w:r>
    </w:p>
    <w:p>
      <w:r>
        <w:t>Impôt cantonal et communal 2010 sur la fortune, déduction des dettes | Finances publiques &amp; droit fiscal</w:t>
      </w:r>
    </w:p>
    <w:p>
      <w:pPr>
        <w:pStyle w:val="Heading2"/>
      </w:pPr>
      <w:r>
        <w:t>Erwägungen</w:t>
      </w:r>
    </w:p>
    <w:p>
      <w:r>
        <w:rPr>
          <w:b/>
        </w:rPr>
        <w:t>E. 1</w:t>
      </w:r>
    </w:p>
    <w:p>
      <w:r>
        <w:t>Déposé en temps utile ( art. 100 al. 1 LTF ) et dans les formes prescrites par la loi ( art. 42 et 106 al. 2 LTF ) contre une décision finale ( art. 90 LTF ) rendue dans une cause de droit public par un tribunal supérieur de dernière instance cantonale ( art. 86 al. 1 let . d et al. 2 LTF), sans qu'une des exceptions prévues à l' art. 83 LTF ne soit réalisée, le présent recours, interjeté par deux personnes physiques qui ont pris part à la procédure devant l'autorité précédente, sont particulièrement atteintes par la décision attaquée et ont un intérêt digne de protection à son annulation ou à sa modification, est en principe recevable comme recours en matière de droit public en vertu des art. 82 ss LTF et de l' art. 73 LHID .</w:t>
      </w:r>
    </w:p>
    <w:p>
      <w:r>
        <w:rPr>
          <w:b/>
        </w:rPr>
        <w:t>E. 2</w:t>
      </w:r>
    </w:p>
    <w:p>
      <w:r>
        <w:t>Selon les art. 13 al. 1 LHID et 46 de la loi genevoise du 27 septembre 2009 sur l'imposition des personnes physiques (LIPP; RSGE D 3 08), l'impôt sur la fortune a pour objet l'ensemble de la fortune nette. La définition de la fortune nette imposable de l' art. 13 al. 1 LHID s'impose aux cantons, qui ne peuvent soumettre à l'impôt un élément n'entrant pas dans celle-ci (cf. ATF 136 II 256 consid. 3.1 i. f. p. 259). Par conséquent, le Tribunal fédéral examine librement si et quand une dette de rappel d'impôt peut être déduite des actifs pour déterminer la fortune nette imposable en vertu de cette disposition (cf. arrêt 2C_555/2010 du 11 mars 2011 consid. 2.2).</w:t>
      </w:r>
    </w:p>
    <w:p>
      <w:r>
        <w:rPr>
          <w:b/>
        </w:rPr>
        <w:t>E. 3.1</w:t>
      </w:r>
    </w:p>
    <w:p>
      <w:r>
        <w:t>Selon les art. 66 al. 1 LHID (dans sa version en vigueur jusqu'au 31 décembre 2013 applicable en l'espèce; cf. art. 17 al. 1 LHID dans sa teneur au 1er janvier 2014; RO 2013 2397) et 49 al. 1 LIPP, la fortune imposable se détermine d'après son état à la fin de la période fiscale, soit au 31 décembre de l'année pour laquelle l'impôt est dû. L'art 56 LIPP autorise la déduction des dettes chirographaires ou hypothécaires effectivement dues par le contribuable et justifiées par titres, extraits de comptes, quittances d'intérêts ou déclaration du créancier. A l'instar des dettes fiscales ordinaires, les dettes de rappel d'impôt peuvent être déduites de la fortune brute même si elles ne sont pas encore chiffrées à la date déterminante; elles sont dues en vertu de la loi (Blumenstein/Locher, System des schweizerischen Steuerrechts, 6e éd., Zurich 2002, p. 240; Archives 12 p. 396, 397; Archives 23 p. 101 consid. 2). Selon le principe de périodicité, la cause juridique et fait générateur de la dette doivent être réalisés au moment déterminant pour l'imposition de la fortune. Il s'ensuit que les dettes prescrites ne sont en principe pas déductibles ni celles simplement possibles, futures ou correspondant à des expectatives, en particulier celles résultant d'une opération subordonnée à la réalisation d'une condition suspensive ( art. 151 CO ), aussi longtemps que la condition ne se réalise pas et que le débiteur n'est pas encore redevable de sa prestation. L'échéance de la dette ne constitue en revanche pas une condition à la déduction de la dette ( ATF 138 II 311 consid. 3.3.2 p. 318 s. et les références citées).</w:t>
      </w:r>
    </w:p>
    <w:p>
      <w:r>
        <w:rPr>
          <w:b/>
        </w:rPr>
        <w:t>E. 3.2</w:t>
      </w:r>
    </w:p>
    <w:p>
      <w:r>
        <w:t>En l'espèce, les recourants ont effectué une dénonciation spontanée en novembre 2011 pour les périodes fiscales 2001 à 2009, alors que la période fiscale 2010 n'avait pas encore fait l'objet d'une taxation définitive. Lorsqu'en septembre 2013, il s'est agi de déterminer la fortune nette des recourants au 31 décembre 2010, les recourants savaient, depuis le 19 janvier 2012, que leur fortune au 31 décembre 2010 était grevée des montants de rappels d'impôt et intérêts de retard pour les périodes fiscales 2001 à 2009, et que les bordereaux, qu'ils n'avaient pas contestés, étaient entrés en force en février 2012. Etant née et effective pour les périodes fiscales 2001 à 2009, cette dette grevait la fortune imposable des recourants pour la période fiscale 2010, qui n'était pas encore taxée de manière définitive, et devait donc être déduite de leur fortune imposable au 31 décembre 2010 ; cette déduction est en outre conforme au principe de périodicité.</w:t>
      </w:r>
    </w:p>
    <w:p>
      <w:r>
        <w:rPr>
          <w:b/>
        </w:rPr>
        <w:t>E. 3.3</w:t>
      </w:r>
    </w:p>
    <w:p>
      <w:r>
        <w:t>Le recours devant être admis pour ce motif déjà, il n'est pas nécessaire d'examiner les effets du retrait du recours par l'Administration fiscale cantonale sur l'arrêt attaqué ni les griefs soulevés par les recourants à cet égard.</w:t>
      </w:r>
    </w:p>
    <w:p>
      <w:r>
        <w:rPr>
          <w:b/>
        </w:rPr>
        <w:t>E. 4</w:t>
      </w:r>
    </w:p>
    <w:p>
      <w:r>
        <w:t>Les considérants qui précèdent conduisent à l'admission du recours, à l'annulation de l'arrêt attaqué et à la confirmation du jugement rendu le 30 juin 2014 par le Tribunal administratif de première instance. Succombant, l'Administration fiscale cantonale du canton de Genève, qui défend un intérêt pécuniaire, doit supporter les frais judiciaires (art. 66 al. 1 et 4 a contrario LTF). Ayant obtenu gain de cause avec l'aide d'un mandataire professionnel, les recourants ont droit à une indemnité à titre de dépens à charge de l'Administration fiscale cantonale ( art. 68 LTF ). La cause est renvoyée à la Cour de justice du canton de Genève pour nouvelle décision sur les frais et dépens de la procédure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