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1167/2012 vom 27. November 2012</w:t>
      </w:r>
    </w:p>
    <w:p>
      <w:r>
        <w:t>Bundesgericht, 2012-11-27, FR</w:t>
      </w:r>
    </w:p>
    <w:p>
      <w:r>
        <w:rPr>
          <w:b/>
        </w:rPr>
        <w:t xml:space="preserve">Quelle: </w:t>
      </w:r>
      <w:r>
        <w:t>https://mcp.opencaselaw.ch/entscheid/bger_2C_1167_2012</w:t>
      </w:r>
    </w:p>
    <w:p>
      <w:r>
        <w:t>FR: TF 2C 1167/2012 du 27 novembre 2012</w:t>
      </w:r>
    </w:p>
    <w:p>
      <w:r>
        <w:t>IT: TF 2C 1167/2012 del 27 novembre 2012</w:t>
      </w:r>
    </w:p>
    <w:p>
      <w:pPr>
        <w:pStyle w:val="Heading2"/>
      </w:pPr>
      <w:r>
        <w:t>Regeste</w:t>
      </w:r>
    </w:p>
    <w:p>
      <w:r>
        <w:t>Mesures provisionnelles et superprovisionnells | Responsabilité de l'État</w:t>
      </w:r>
    </w:p>
    <w:p>
      <w:pPr>
        <w:pStyle w:val="Heading2"/>
      </w:pPr>
      <w:r>
        <w:t>Erwägungen</w:t>
      </w:r>
    </w:p>
    <w:p>
      <w:r>
        <w:rPr>
          <w:b/>
        </w:rPr>
        <w:t>E. 1</w:t>
      </w:r>
    </w:p>
    <w:p>
      <w:r>
        <w:t>Par décision C1 12 222 du 12 novembre 2012, le Juge de la Cour civile II du Tribunal cantonal du canton du Valais a déclaré irrecevable l'appel interjeté par X.________ contre la décision du 18 octobre 2012 de la Juge de district de Monthey déclarant irrecevable l'écriture du 16 octobre 2012 demandant le prononcé de mesures provisionnelles et superprovisionnelles reformulant la demande du 28 septembre 2011 intitulée "Action en responsabilité causale Art. 429a CC , 134 CC contre l'Etat du Valais et la commune de Monthey".</w:t>
      </w:r>
    </w:p>
    <w:p>
      <w:r>
        <w:rPr>
          <w:b/>
        </w:rPr>
        <w:t>E. 2</w:t>
      </w:r>
    </w:p>
    <w:p>
      <w:r>
        <w:t>Par courrier du 23 novembre 2012, X.________ s'adresse au Tribunal fédéral, IIe Cour de droit civil, pour se plaindre de la décision de la Cour civile II du Tribunal cantonal, notamment de ce que le juge Spahr a siégé, de la violation du droit civil et du droit de la poursuite pour dettes. Il s'agirait d'une question de principe relevant d'une cour à cinq juges selon l' art. 20 LTF .</w:t>
      </w:r>
    </w:p>
    <w:p>
      <w:r>
        <w:rPr>
          <w:b/>
        </w:rPr>
        <w:t>E. 3</w:t>
      </w:r>
    </w:p>
    <w:p>
      <w:r>
        <w:t>La IIe Cour de droit public est compétente dans le domaine de la responsabilité étatique ( art. 30 let . c ch. 1 du règlement du Tribunal fédéral du 20 novembre 2006).</w:t>
      </w:r>
    </w:p>
    <w:p>
      <w:r>
        <w:rPr>
          <w:b/>
        </w:rPr>
        <w:t>E. 4</w:t>
      </w:r>
    </w:p>
    <w:p>
      <w:r>
        <w:t>En vertu de l' art. 98 LTF , dans le cas des recours formés contre des décisions portant sur des mesures provisionnelles, comme en l'espèce, seule peut être invoquée la violation des droits constitutionnels. La violation des droits constitutionnels doit être motivée conformément aux exigences accrues prévues par l' art. 106 al. 2 LTF ( art. 117 LTF ), ce que le recourant n'a pas respecté dans son courrier du 23 novembre 2012. En effet, il se borne à énumérer des dispositions légales et constitutionnelles sans exposer concrètement en quoi l'arrêt attaqué leur serait contraire.</w:t>
      </w:r>
    </w:p>
    <w:p>
      <w:r>
        <w:rPr>
          <w:b/>
        </w:rPr>
        <w:t>E. 5</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