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2C_1165/2016 vom 19. Dezember 2016</w:t>
      </w:r>
    </w:p>
    <w:p>
      <w:r>
        <w:t>Bundesgericht, 2016-12-19, FR</w:t>
      </w:r>
    </w:p>
    <w:p>
      <w:r>
        <w:rPr>
          <w:b/>
        </w:rPr>
        <w:t xml:space="preserve">Quelle: </w:t>
      </w:r>
      <w:r>
        <w:t>https://mcp.opencaselaw.ch/entscheid/bger_2C_1165_2016</w:t>
      </w:r>
    </w:p>
    <w:p>
      <w:r>
        <w:t>FR: TF 2C_1165/2016 du 19 décembre 2016</w:t>
      </w:r>
    </w:p>
    <w:p>
      <w:r>
        <w:t>IT: TF 2C_1165/2016 del 19 dicembre 2016</w:t>
      </w:r>
    </w:p>
    <w:p>
      <w:pPr>
        <w:pStyle w:val="Heading2"/>
      </w:pPr>
      <w:r>
        <w:t>Erwägungen</w:t>
      </w:r>
    </w:p>
    <w:p>
      <w:r>
        <w:rPr>
          <w:b/>
        </w:rPr>
        <w:t>E. 1</w:t>
      </w:r>
    </w:p>
    <w:p>
      <w:r>
        <w:t>Par arrêt rendu le 2 décembre 2016, le Juge unique du Tribunal cantonal du canton du Valais a approuvé la mise en détention de X.________, soi-disant ressortissant d'Erythrée, par le Service de la population et des migrations du canton du Valais le 28 novembre 2016 pour une durée de trois mois au plus en vue de renvoi de Suisse. L'intéressé avait fait l'objet d'une décision du 2 juillet 2015 rejetant sa demande d'asile et prononçant son renvoi en Ethiopie ou au Soudan, car il n'était pas érythréen, confirmée par arrêt du Tribunal administratif fédéral du 2 octobre 2015. Il avait refusé de s'en aller en audience du 2 décembre 2016.</w:t>
      </w:r>
    </w:p>
    <w:p>
      <w:r>
        <w:rPr>
          <w:b/>
        </w:rPr>
        <w:t>E. 2</w:t>
      </w:r>
    </w:p>
    <w:p>
      <w:r>
        <w:t>Par courrier du 11 décembre 2016 adressé au Tribunal fédéral, X.________ demande, au moins implicitement, d'annuler l'arrêt rendu le 2 décembre 2016 par le Tribunal cantonal du canton de Valais et d'autoriser son séjour en Suisse. Il nie être de nationalité éthiopienne ou soudanaise.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 En l'espèce, le courrier rédigé par l'intéressé à l'attention du Tribunal fédéral n'expose pas de manière suffisante eu égard aux exigences de l' art. 42 al. 2 LTF en quoi l'arrêt du 2 décembre 2016 et les motifs qu'il retient à l'appui de la détention violent le droit.</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