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1156/2018 vom 12. Juli 2019</w:t>
      </w:r>
    </w:p>
    <w:p>
      <w:r>
        <w:t>Bundesgericht, 2019-07-12, FR</w:t>
      </w:r>
    </w:p>
    <w:p>
      <w:r>
        <w:rPr>
          <w:b/>
        </w:rPr>
        <w:t xml:space="preserve">Quelle: </w:t>
      </w:r>
      <w:r>
        <w:t>https://mcp.opencaselaw.ch/entscheid/bger_2C_1156_2018</w:t>
      </w:r>
    </w:p>
    <w:p>
      <w:r>
        <w:t>FR: TF 2C 1156/2018 du 12 juillet 2019</w:t>
      </w:r>
    </w:p>
    <w:p>
      <w:r>
        <w:t>IT: TF 2C 1156/2018 del 12 luglio 2019</w:t>
      </w:r>
    </w:p>
    <w:p>
      <w:pPr>
        <w:pStyle w:val="Heading2"/>
      </w:pPr>
      <w:r>
        <w:t>Regeste</w:t>
      </w:r>
    </w:p>
    <w:p>
      <w:r>
        <w:t>Suspension de procédure d'autorisation d'activité de chauffeur professionnel | Droit fondamental</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141 III 395 consid. 2.5 p. 400; 136 IV 92 consid. 4 p. 95; arrêt 2C_1054/2017 du 15 mai 2018 consid. 1.2). En l'espèce, la décision de suspension rendue le 29 mai 2018 par le Service cantonal est une décision incidente (cf. arrêts 2C_248/2017 du 19 avril 2017 consid. 1.2 et 8C_479/2015 du 18 décembre 2015 consid. 2.1). L'arrêt d'irrecevabilité du 20 novembre 2018 met fin à la procédure devant la Cour de justice; néanmoins, du moment que le recours à l'origine de ce prononcé était dirigé contre une décision incidente, l'arrêt entrepris revêt lui aussi le caractère d'une décision incidente ( ATF 137 III 380 consid. 1.1 p. 382; cf. arrêts 2C_1155/2016 du 3 avril 2017 consid. 1.2; 2C_1009/2014 du 6 juillet 2015 consid. 1.3; 5A_878/2014 du 17 juin 2015 consid. 1.1, non publié in ATF 141 III 270 ). Le recours n'est donc en principe recevable que si l'arrêt attaqué peut causer un préjudice irréparable à l'intéressée au sens de l' art. 93 al. 1 let. a LTF , la condition prévue par l' art. 93 al. 1 let. b LTF n'étant à l'évidence pas réalisée en l'occurrence. Cela étant, la question d'un éventuel préjudice irréparable peut demeurer indécise au niveau de la recevabilité, car elle fait précisément l'objet du fond de la cause (en ce sens, cf. ATF 143 I 344 consid. 1.2 p. 346; arrêt 1B_324/2016 du 12 septembre 2016 consid. 1). En effet, la Cour de justice a déclaré irrecevable le recours de l'intéressée en considérant que la décision de suspension litigieuse n'était pas de nature à causer à celle-ci un préjudice irréparable (cf. supra let. B).</w:t>
      </w:r>
    </w:p>
    <w:p>
      <w:r>
        <w:rPr>
          <w:b/>
        </w:rPr>
        <w:t>E. 1.2</w:t>
      </w:r>
    </w:p>
    <w:p>
      <w:r>
        <w:t>L'arrêt attaqué a par ailleurs été rendu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1.3</w:t>
      </w:r>
    </w:p>
    <w:p>
      <w:r>
        <w:t>La recourante, qui était la destinataire de l'arrêt entrepris, a un intérêt digne de protection à en demander l'annulation, dès lors que ledit arrêt refuse d'entrer en matière sur son recours du 11 juin 2018, cela indépendamment et sans préjudice du motif d'irrecevabilité retenu par la Cour de justice, qui constitue l'objet de la contestation devant le Tribunal fédéral ( ATF 135 II 145 consid. 3.1 p. 148; arrêt 2C_36/2018 du 27 mars 2018 consid. 1.2). Il faut ainsi reconnaître à l'intéressée la qualité pour recourir dans la présente procédure au sens de l' art. 89 al. 1 LTF . Au surplus, le recours a été déposé en temps utile, compte tenu des féries ( art. 46 al. 1 let . c et 100 al. 1 LTF), et dans les formes prescrites ( art. 42 LTF ). Il est donc recevable.</w:t>
      </w:r>
    </w:p>
    <w:p>
      <w:r>
        <w:rPr>
          <w:b/>
        </w:rPr>
        <w:t>E. 1.4</w:t>
      </w:r>
    </w:p>
    <w:p>
      <w:r>
        <w:t>Au vu de la nature de l'acte attaqué, c'est à juste titre que la recourante n'a conclu qu'à son annulation et au renvoi de la cause à l'autorité précédente pour qu'elle entre en matière, les conclusions sur le fond n'étant en principe pas admissibles contre une décision d'irrecevabilité (cf. arrêts 2D_11/2018 du 12 juin 2018 consid. 1.3 et 2C_823/2017 du 23 mars 2018 consid. 1.3).</w:t>
      </w:r>
    </w:p>
    <w:p>
      <w:r>
        <w:rPr>
          <w:b/>
        </w:rPr>
        <w:t>E. 2.1</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p. 324; arrêt 2C_97/2018 du 5 juin 2018 consid. 2). Le Tribunal fédéral n'examine toutefois le moyen tiré de la violation de droits fondamentaux que si ce grief a été invoqué et motivé de manière précise par le recourant ( art. 106 al. 2 LTF ; cf. ATF 141 I 36 consid. 1.3 p. 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 En l'espèce, dans la mesure où la recourante présente une argumentation partiellement appellatoire, en opposant sa propre version des faits à celle de la Cour de justice ou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3</w:t>
      </w:r>
    </w:p>
    <w:p>
      <w:r>
        <w:t>Dans un grief d'ordre formel qu'il convient d'examiner en premier lieu ( ATF 138 I 232 consid. 5.1 p. 237), la recourante se plaint d'une violation de son droit d'être entendue ( art. 29 al. 2 Cst. ). A son avis, l'autorité précédente aurait dû instruire la question de savoir si elle exerçait déjà la profession de chauffeur "au moment de recevoir la décision litigieuse". A ce sujet, elle invoque également la "maxime inquisitoire" et se réfère au "devoir d'instruction" de la Cour de justice en lien avec les art. 16, 19 et 20 de la loi genevoise du 12 septembre 1985 sur la procédure administrative (LPA/GE; RS/GE E 5 10).</w:t>
      </w:r>
    </w:p>
    <w:p>
      <w:r>
        <w:rPr>
          <w:b/>
        </w:rPr>
        <w:t>E. 3.1</w:t>
      </w:r>
    </w:p>
    <w:p>
      <w:r>
        <w:t>La critique relative au "devoir d'instruction" de la Cour de justice, que l'intéressée semble déduire des art. 16, 19 et 20 LPA /GE, n'a pas à être traitée, faute de respecter les exigences de motivation accrues de l' art. 106 al. 2 LTF (cf. supra consid. 2.1). En effet, la recourante n'expose pas en quoi ces articles auraient été appliqués de manière arbitraire ( art. 9 Cst. ) ou contraire à un autre droit fondamental.</w:t>
      </w:r>
    </w:p>
    <w:p>
      <w:r>
        <w:rPr>
          <w:b/>
        </w:rPr>
        <w:t>E. 3.2</w:t>
      </w:r>
    </w:p>
    <w:p>
      <w:r>
        <w:t>Tel qu'il est garanti par l' art. 29 al. 2 Cst. , le droit d'être entendu comprend en particulier le droit pour le justiciable d'obtenir qu'il soit donné suite à ses offres de preuves pertinentes, lorsque cela est de nature à influer sur la décision à rendre (cf. ATF 140 I 285 consid. 6.3.1 p. 299). Le droit de faire administrer des preuves suppose que le fait à prouver soit pertinent, que le moyen de preuve proposé soit nécessaire pour constater ce fait et que la demande soit présentée selon les formes et délais prescrits (cf. ATF 134 I 140 consid. 5.3 p. 148; arrêt 2C_634/2016 du 4 mai 2017 consid. 2.1). En l'occurrence, la recourante ne soutient pas qu'elle aurait proposé à la Cour de justice des moyens de preuves au sujet de son activité professionnelle et que cette autorité aurait refusé de les administrer en violation de son droit d'être entendue. Au contraire, les juges cantonaux soulignent du reste expressément que, si la recourante exerçait déjà l'activité de chauffeur VTC avant le dépôt de sa demande d'autorisation, il lui appartenait de le démontrer et d'exposer comment elle gagnait sa vie auparavant et dans quelle mesure elle ne pourrait exercer une autre activité dans l'attente de se voir délivrer la carte professionnelle sollicitée, ce que visiblement elle n'avait pas fait. Dans ces conditions, le grief relatif à l' art. 29 al. 2 Cst. ne peut qu'être rejeté.</w:t>
      </w:r>
    </w:p>
    <w:p>
      <w:r>
        <w:rPr>
          <w:b/>
        </w:rPr>
        <w:t>E. 3.3</w:t>
      </w:r>
    </w:p>
    <w:p>
      <w:r>
        <w:t>Selon la maxime inquisitoire, qui prévaut en particulier en droit public ( ATF 140 I 285 consid. 6.3.1 p. 298), l'autorité définit les faits pertinents et ne tient pour existants que ceux qui sont dûment prouvés; cette maxime oblige notamment les autorités compétentes à prendre en considération d'office l'ensemble des pièces pertinentes qui ont été versées au dossier (arrêts 2C_95/2019 du 13 mai 2019 consid. 3.2 et 2C_633/2018 du 13 février 2019 consid. 5.1.1). Elle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 ATF 140 I 285 consid. 6.3.1 p. 298 s.; arrêts 2C_95/2019 du 13 mai 2019 consid. 3.2 et 2C_207/2017 du 2 novembre 2017 consid. 3.1). En l'espèce, comme la recourante n'a jamais allégué, devant la Cour de justice, qu'elle exerçait déjà la profession de chauffeur VTC avant de demander, le 2 mai 2018, la délivrance d'une carte professionnelle, on ne saurait reprocher aux juges précédents d'avoir violé la maxime inquisitoire parce qu'ils n'ont pas instruit ce point. Au demeurant, dans son recours auprès de la Cour de justice, l'intéressée se référait précisément à "l'activité de chauffeur [qu'elle] entend[ait] exercer" (recours du 11 juin 2018, p. 5), respectivement à "l'activité de chauffeur ambitionnée" (recours du 11 juin 2018, p. 9).</w:t>
      </w:r>
    </w:p>
    <w:p>
      <w:r>
        <w:rPr>
          <w:b/>
        </w:rPr>
        <w:t>E. 4</w:t>
      </w:r>
    </w:p>
    <w:p>
      <w:r>
        <w:t>Le litige porte sur le point de savoir si c'est à bon droit que la Cour de justice a déclaré irrecevable le recours déposé par l'intéressée le 11 juin 2018. Concernant cette question, la recourante invoque en premier lieu une application arbitraire de l' art. 57 let . c LPA/GE, en lien notamment avec l'interdiction du déni de justice ( art. 29 al. 1 Cst. ).</w:t>
      </w:r>
    </w:p>
    <w:p>
      <w:r>
        <w:rPr>
          <w:b/>
        </w:rPr>
        <w:t>E. 4.1</w:t>
      </w:r>
    </w:p>
    <w:p>
      <w:r>
        <w:t>Aux termes de l' art. 57 let . c LPA/GE, sont en particulier susceptibles d'un recours " les décisions incidentes, si elles peuvent causer un préjudice irréparable ou si l'admission du recours peut conduire immédiatement à une décision finale qui permet d'éviter une procédure probatoire longue et coûteuse ".</w:t>
      </w:r>
    </w:p>
    <w:p>
      <w:r>
        <w:rPr>
          <w:b/>
        </w:rPr>
        <w:t>E. 4.2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w:t>
      </w:r>
    </w:p>
    <w:p>
      <w:r>
        <w:rPr>
          <w:b/>
        </w:rPr>
        <w:t>E. 4.3</w:t>
      </w:r>
    </w:p>
    <w:p>
      <w:r>
        <w:t>Le Tribunal fédéral a déjà eu l'occasion de juger qu'il n'était pas arbitraire pour les autorités cantonales genevoises d'interpréter l' art. 57 let . c LPA/GE selon les principes dégagés par la jurisprudence au sujet de l' art. 93 al. 1 let. a LTF , au vu de la teneur similaire de ces dispositions (arrêts 1C_317/2018 du 11 octobre 2018 consid. 2.2 et 1C_278/2017 du 10 octobre 2017 consid. 2.3.1; cf. arrêt 1D_10/2011 du 14 novembre 2011 consid. 2.2).</w:t>
      </w:r>
    </w:p>
    <w:p>
      <w:r>
        <w:rPr>
          <w:b/>
        </w:rPr>
        <w:t>E. 4.4</w:t>
      </w:r>
    </w:p>
    <w:p>
      <w:r>
        <w:t>La recourante soutient que la Cour de justice aurait dû faire abstraction de la condition du préjudice irréparable exigée par l' art. 57 let . c LPA/GE eu égard au fait que, dans son recours devant cette autorité, elle se plaignait d'un déni de justice au sens de l' art. 29 al. 1 Cst.</w:t>
      </w:r>
    </w:p>
    <w:p>
      <w:r>
        <w:rPr>
          <w:b/>
        </w:rPr>
        <w:t>E. 4.4.1</w:t>
      </w:r>
    </w:p>
    <w:p>
      <w:r>
        <w:t>Le Tribunal fédéral renonce à l'exigence d'un préjudice irréparable lorsque la partie recourante expose et rend vraisemblable que la décision contestée entraînera un déni de justice ou un retard injustifié ( ATF 143 III 416 consid. 1.4 p. 420; 138 III 190 consid. 6 p. 191 s.), ce qui peut notamment être le cas d'une décision de suspension de la procédure (cf. arrêts 1B_95/2019 du 28 février 2019 consid. 2 et 5A_246/2018 du 11 juillet 2018 consid 2.2.1). Il faut toutefois que le grief soit suffisamment motivé et fasse apparaître un risque sérieux de violation du principe de célérité (cf. ATF 143 IV 175 consid. 2.3 p. 177 s.; 138 III 190 consid. 6 p. 191 s.; arrêts 1B_21/2019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p. 178; 134 IV 43 consid. 2.5 p. 47; arrêts 5A_246/2018 du 11 juillet 2018 consid. 2.2.1 et 6B_1463/2017 du 29 mai 2018 consid. 3.3).</w:t>
      </w:r>
    </w:p>
    <w:p>
      <w:r>
        <w:rPr>
          <w:b/>
        </w:rPr>
        <w:t>E. 4.4.2</w:t>
      </w:r>
    </w:p>
    <w:p>
      <w:r>
        <w:t>En l'occurrence, devant l'autorité précédente, la recourante avait affirmé que la suspension de la procédure d'autorisation allongeait celle-ci de manière indue et constituait "un déni de justice formel sous la forme d'un report sine die de [la] décision" (recours du 11 juin 2018, p. 5). A juste titre, la Cour de justice a considéré que ces simples affirmations n'étaient pas propres à établir l'existence d'un déni de justice: la procédure - contrairement à l'opinion de la recourante - n'avait pas été suspendue sine die , mais en attente de droit jugé sur l'appel formé par l'intéressée contre le jugement du Tribunal correctionnel du 12 avril 2018 (pour des cas similaires, cf. arrêts 1B_378/2016 du 24 janvier 2017 consid. 1.2.2 et 1B_404/2016 du 23 décembre 2016 consid. 1.2.2). En outre, la suspension de la procédure d'autorisation avait été décidée le 29 mai 2018, soit environ six mois avant l'arrêt attaqué, et la recourante n'avançait aucun élément indiquant que cette procédure n'aurait pas pu être menée à terme dans un délai raisonnable. Dans ces conditions, en l'absence de tout argument propre à démontrer un risque sérieux de violation du principe de célérité (cf. consid. 4.4.1 ci-dessus), c'est sans arbitraire que la Cour de justice a retenu qu'il n'y avait pas lieu de faire abstraction des exigences de l' art. 57 let . c LPA/GE.</w:t>
      </w:r>
    </w:p>
    <w:p>
      <w:r>
        <w:rPr>
          <w:b/>
        </w:rPr>
        <w:t>E. 4.5</w:t>
      </w:r>
    </w:p>
    <w:p>
      <w:r>
        <w:t>La recourante soutient que, en tout état de cause, l'autorité précédente serait tombée dans l'arbitraire en niant l'existence d'un préjudice irréparable au sens de l' art. 57 let . c LPA/GE.</w:t>
      </w:r>
    </w:p>
    <w:p>
      <w:r>
        <w:rPr>
          <w:b/>
        </w:rPr>
        <w:t>E. 4.5.1</w:t>
      </w:r>
    </w:p>
    <w:p>
      <w:r>
        <w:t>Selon la jurisprudence relative à l' art. 93 al. 1 let. a LTF - qu'il n'est pas arbitraire d'appliquer à l' art. 57 let . c LPA/GE (cf. supra consid. 4.3) - le préjudice irréparable doit être de nature juridique et ne pas pouvoir être réparé ultérieurement par une décision finale favorable au recourant (cf. ATF 137 III 380 consid. 1.2.1 p. 382; 136 IV 92 consid. 4 p. 95; arrêt 2C_959/2018 du 12 novembre 2018 consid. 3.2). Le Tribunal fédéral admet, à certaines conditions, qu'une décision (notamment des mesures provisionnelles) ayant pour conséquence d'empêcher un administré d'exercer une activité économique peut causer un préjudice irréparable. Il doit toutefois s'agir d'une activité qui, avant son interdiction, faisait l'objet d'une autorisation administrative ou qui était à tout le moins tolérée (cf. arrêt 2C_547/2015 du 7 janvier 2016 consid. 1.3.3 et les nombreux arrêts cités).</w:t>
      </w:r>
    </w:p>
    <w:p>
      <w:r>
        <w:rPr>
          <w:b/>
        </w:rPr>
        <w:t>E. 4.5.2</w:t>
      </w:r>
    </w:p>
    <w:p>
      <w:r>
        <w:t>Dans son recours auprès de la Cour de justice, l'intéressée avait relevé que la suspension litigieuse l'empêchait d'exercer l'activité de chauffeur VTC pendant la durée de la procédure pénale, la maintenant "dans une situation financière précaire et lui caus[ant] ainsi un important préjudice économique" (recours du 11 juin 2018, p. 5). Il ressort toutefois des constatations de l'autorité précédente - qui lient le Tribunal fédéral, malgré les affirmations appellatoires de l'intéressée à ce sujet (cf. supra consid. 2.2) - que la recourante n'avait pas soutenu (ni a fortiori démontré) avoir exercé la profession de chauffeur VTC avant le dépôt de sa requête du 2 mai 2018 tendant à la délivrance d'une carte professionnelle, ni exposé comment elle avait gagné sa vie précédemment, de sorte que l'on ne voit pas que la suspension litigieuse pourrait la priver d'une source de revenus. Dans ces conditions, la Cour de justice n'a pas appliqué l' art. 57 let . c LPA/GE de manière arbitraire en retenant que la recourante n'avait pas démontré l'existence d'un préjudice irréparable.</w:t>
      </w:r>
    </w:p>
    <w:p>
      <w:r>
        <w:rPr>
          <w:b/>
        </w:rPr>
        <w:t>E. 5</w:t>
      </w:r>
    </w:p>
    <w:p>
      <w:r>
        <w:t>La recourante invoque l' art. 111 LTF , sans véritablement expliquer dans quelle mesure elle se prévaut de cette disposition et sans que l'on puisse du reste le discerner. Le présent litige ne concerne en effet pas la qualité de partie à la procédure, de sorte que l' art. 111 al. 1 LTF n'est pas concerné. L'alinéa 2, en tant qu'il vise les autorités fédérales, est d'emblée exclu. Quant à l'alinéa 3, il prévoit que l'autorité qui précède immédiatement le Tribunal fédéral doit pouvoir examiner au moins les griefs visés aux art. 95 à 98 LTF. En d'autres termes, les motifs de recours doivent être admis devant l'instance qui précède immédiatement le Tribunal fédéral au moins aussi largement que pour un recours devant cette dernière autorité (arrêt 2C_32/2016 du 24 novembre 2016 consid. 2.2.2). Or, comme indiqué, la notion de préjudice irréparable figurant à l' art. 57 let . c LPA/GE est interprétée par les autorités genevoises de la même manière que la notion prévue à l' art. 93 al. 1 let. a LTF , de sorte que le droit genevois ne se montre pas plus restrictif. Le grief est ainsi infondé.</w:t>
      </w:r>
    </w:p>
    <w:p>
      <w:r>
        <w:rPr>
          <w:b/>
        </w:rPr>
        <w:t>E. 6</w:t>
      </w:r>
    </w:p>
    <w:p>
      <w:r>
        <w:t>Les considérants qui précèdent conduisent au rejet du recours. La recourante a sollicité sa mise au bénéfice de l'assistance judiciaire. La cause paraissant d'emblée dépourvue de chances de succès, cette requête doit être rejetée ( art. 64 al. 1 LTF ). Les frais seront donc mis à la charge de la recourante,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