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2C_1152/2014 vom 14. September 2015</w:t>
      </w:r>
    </w:p>
    <w:p>
      <w:r>
        <w:t>Bundesgericht, 2015-09-14, DE</w:t>
      </w:r>
    </w:p>
    <w:p>
      <w:r>
        <w:rPr>
          <w:b/>
        </w:rPr>
        <w:t xml:space="preserve">Quelle: </w:t>
      </w:r>
      <w:r>
        <w:t>https://mcp.opencaselaw.ch/entscheid/bger_2C_1152_2014</w:t>
      </w:r>
    </w:p>
    <w:p>
      <w:r>
        <w:t>FR: TF 2C_1152/2014 du 14 septembre 2015</w:t>
      </w:r>
    </w:p>
    <w:p>
      <w:r>
        <w:t>IT: TF 2C_1152/2014 del 14 settembre 2015</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sowie Art. 86 Abs. 1 lit. d und Abs. 2 BGG ), da der Beschwerdeführer grundsätzlich einen Anspruch auf das Fortbestehen der Bewilligung geltend machen kann ( BGE 135 II 1 E. 1.2.1 S. 4; Urteil 2C_205/2013 vom 7. März 2013 E. 2.1; Art. 83 lit. c Ziff. 2 BGG e contrario).</w:t>
      </w:r>
    </w:p>
    <w:p>
      <w:r>
        <w:t>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t>Soweit der Beschwerdeführer im bundesgerichtlichen Verfahren Sachverhaltselemente vorbringt, ohne darzulegen, dass und inwiefern die oben genannten Voraussetzungen erfüllt sind, kann darauf nicht eingetreten werden (vgl. BGE 140 III 264 E. 2.3 S. 266).</w:t>
      </w:r>
    </w:p>
    <w:p>
      <w:r>
        <w:rPr>
          <w:b/>
        </w:rPr>
        <w:t>E. 3.1</w:t>
      </w:r>
    </w:p>
    <w:p>
      <w:r>
        <w:t>Die Niederlassungsbewilligung kann nach Art. 63 Abs. 1 lit. b AuG, auf den sich die Vorinstanz gestützt hat, widerrufen werden, wenn der Ausländer in schwerwiegender Weise gegen die öffentliche Sicherheit und Ordnung in der Schweiz oder im Ausland verstossen hat oder diese gefährdet oder die innere oder die äussere Sicherheit gefährdet.</w:t>
      </w:r>
    </w:p>
    <w:p>
      <w:r>
        <w:rPr>
          <w:b/>
        </w:rPr>
        <w:t>E. 3.2</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Somit kann auch eine Summierung von Verstössen, die für sich genommen für einen Widerruf nicht ausreichen würden, einen Bewilligungsentzug rechtfertigen, wobei nicht die Schwere der verhängten Strafen, sondern die Vielzahl der Delikte entscheidend ist (Urteil 2C_446/2014 vom 5. März 2015 E. 3.2 mit Hinweis). Auch das Nichterfüllen von öffentlich-rechtlichen oder privatrechtlichen Verpflichtungen kann gegebenenfalls einen schwerwiegenden Verstoss gegen die öffentliche Sicherheit und Ordnung darstellen, wenn die Verschuldung mutwillig erfolgt ist ( Art. 80 Abs. 1 lit. b der Verordnung vom 24. Oktober 2007 über Zulassung, Aufenthalt und Erwerbstätigkeit [VZAE; SR 142.201] ; Urteil 2C_699/2014 vom 1. Dezember 2014 E. 3.2; Urteil 2C_160/2013 vom 15. November 2013 E. 2.1.1).</w:t>
      </w:r>
    </w:p>
    <w:p>
      <w:r>
        <w:rPr>
          <w:b/>
        </w:rPr>
        <w:t>E. 3.3</w:t>
      </w:r>
    </w:p>
    <w:p>
      <w:r>
        <w:t>Ein Widerruf der Niederlassungsbewilligung rechtfertigt sich indessen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w:t>
      </w:r>
    </w:p>
    <w:p>
      <w:r>
        <w:rPr>
          <w:b/>
        </w:rPr>
        <w:t>E. 3.4</w:t>
      </w:r>
    </w:p>
    <w:p>
      <w:r>
        <w:t>Der neueren Rechtsprechung des Bundesgerichts zu Art. 63 Abs. 1 lit. b AuG lässt sich Folgendes entnehmen:</w:t>
      </w:r>
    </w:p>
    <w:p>
      <w:r>
        <w:t>In BGE 137 II 297 verneinte das Bundesgericht die Voraussetzungen von Art. 63 Abs. 1 lit. b AuG (im Zusammenhang mit Art. 51 Abs. 1 lit. b AuG)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w:t>
      </w:r>
    </w:p>
    <w:p>
      <w:r>
        <w:t>Im Urteil 2C_818/2010 vom 4. Juli 2011 bejahte das Bundesgericht den Widerrufsgrund bei einem ausländischen Staatsangehörigen, der über einen Zeitraum von 14 Jahren - und trotz fremdenpolizeilicher Verwarnung - zahlreiche Delikte verübt hatte (u.a. Strassenverkehrsdelikte, Angriff sowie Widerhandlungen gegen das Betäubungsmittelgesetz und das Waffengesetz). Ausserdem hatte er hohe Schulden angesammelt.</w:t>
      </w:r>
    </w:p>
    <w:p>
      <w:r>
        <w:t>Im Urteil 2C_310/2011 vom 17. November 2011 bejahte das Bundesgericht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w:t>
      </w:r>
    </w:p>
    <w:p>
      <w:r>
        <w:t>Der Widerrufsgrund von Art. 63 Abs. 1 lit. b AuG wurde ebenfalls bejaht im Urteil 2C_160/2013 vom 15. November 2013 im Falle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w:t>
      </w:r>
    </w:p>
    <w:p>
      <w:r>
        <w:t>Ebenso bejahte das Bundesgericht den Widerrufsgrund im Falle eines ausländischen Staatsbürgers, der in einem Zeitraum von 16 Jahren 18 Mal zu Freiheitsstrafen von insgesamt 116 Tagen, Geldstrafen von 50 Tagessätzen zu Fr. 50.-- und 20 Tagessätzen zu Fr. 60.-- und verschiedenen Bussen bis Fr. 4'180.-- wegen Verkehrs- und Betreibungsdelikten, Veruntreuung und Vernachlässigung von Unterstützungspflichten verurteilt worden war (Urteil 2C_699/2014 vom 1. Dezember 2014). Gegen den Betreffenden lagen Verlustscheine in hohen Beträgen vor. Das Bundesgericht betrachtete den Fall als Grenzfall (E. 4.3).</w:t>
      </w:r>
    </w:p>
    <w:p>
      <w:r>
        <w:t>Bejaht wurde der Widerrufsgrund von Art. 63 Abs. 1 lit. b AuG auch im Urteil 2C_395/2014 vom 11. Dezember 2014 im Falle eines Ausländers, gegen den 15 Straferkenntnisse (darunter mehrere Freiheitsstrafen) wegen grober SVG-Delikte vorlagen. Dem Widerruf waren vier ausländerrechtliche Verwarnungen vorausgegangen.</w:t>
      </w:r>
    </w:p>
    <w:p>
      <w:r>
        <w:t>Verneint wurde hingegen der Widerruf im Falle eines seit seinem achten Lebensjahr in der Schweiz lebenden Ausländers, welcher zwar als Minderjähriger verschiedene Gewaltdelikte begangen hatte, jedoch als Erwachsener nur zwei Mal zu Geldstrafen wegen SVG-Delikten und Vergehen gegen das Waffengesetz verurteilt worden war. Da der Betroffene nie ausländerrechtlich verwarnt worden war, erwies sich der Widerruf der Niederlassung als unverhältnismässig (Urteil 2C_446/2014 vom 5. März 2015).</w:t>
      </w:r>
    </w:p>
    <w:p>
      <w:r>
        <w:rPr>
          <w:b/>
        </w:rPr>
        <w:t>E. 4</w:t>
      </w:r>
    </w:p>
    <w:p>
      <w:r>
        <w:t>Im Lichte der soeben dargestellten neueren Kasuistik zum Widerrufsgrund von Art. 63 Abs. 1 lit. b ist der angefochtene Entscheid mit dem Verhältnismässigkeitsprinzip vereinbar.</w:t>
      </w:r>
    </w:p>
    <w:p>
      <w:r>
        <w:rPr>
          <w:b/>
        </w:rPr>
        <w:t>E. 4.1</w:t>
      </w:r>
    </w:p>
    <w:p>
      <w:r>
        <w:t>Die Vorinstanz hat festgehalten, der Beschwerdeführer sei bereits fünf Jahre nach seiner Einreise in die Schweiz straffällig geworden. Während einer Zeitspanne von mehr als sieben Jahren habe er regelmässig eine Vielzahl strafbarer Handlungen begangen. Bis im Jahr 2011 sei es zu zehn Verurteilungen gekommen, wobei der Beschwerdeführer insgesamt zu Freiheitsstrafen von 32 Tagen, Geldstrafen von 290 Tagessätzen sowie Bussen in Höhe von fast Fr. 3'000.-- verurteilt worden sei. Zudem sei er über Jahre hinweg seinen öffentlich- und privatrechtlichen Verpflichtungen nicht nachgekommen (Betreibungen von über Fr. 200'000.-- und offene Verlustscheine von über Fr. 167'000.--). Auch wenn die erwähnten Gesichtspunkte für sich alleine kaum die Voraussetzungen eines Widerrufs zu erfüllen vermöchten, ergebe sich aber in ihrer Gesamtheit, dass der Beschwerdeführer durch die Vielzahl und zum Teil die Tragweite der strafrechtlichen Verfehlungen, die regelmässige Nichterfüllung seiner öffentlich- und privatrechtlichen Verpflichtungen sowie das Ignorieren der Verwarnung des Migrationsamtes in schwerwiegender Weise gegen die öffentliche Sicherheit und Ordnung verstossen und damit den Widerrufsgrund von Art. 63 Abs. 1 lit. b AuG erfüllt habe.</w:t>
      </w:r>
    </w:p>
    <w:p>
      <w:r>
        <w:rPr>
          <w:b/>
        </w:rPr>
        <w:t>E. 4.2</w:t>
      </w:r>
    </w:p>
    <w:p>
      <w:r>
        <w:t>Der Beschwerdeführer bringt in erster Linie vor, die Hälfte der Delikte seien Übertretungen gewesen und dass er sich seit 2010 nichts mehr zu Schulden habe kommen lassen.</w:t>
      </w:r>
    </w:p>
    <w:p>
      <w:r>
        <w:t>Dem Beschwerdeführer ist darin zuzustimmen, dass die von ihm begangenen Straftaten einzeln betrachtet nicht als schwerwiegend bezeichnet werden können. Allerdings sind die von ihm begangenen SVG-Delikte nicht zu unterschätzen: Durch das mehrmalige Lenken eines Fahrzeugs mit qualifizierter Blutalkoholkonzentration hat der Beschwerdeführer wiederholt Leib und Leben anderer Menschen gefährdet. Auch der Umstand, dass ihn sowohl die im Jahr 2004 ausgesprochene ausländerrechtliche Verwarnung als auch die verschiedenen strafrechtlichen Verurteilungen nicht von weiteren Verfehlungen abgehalten haben, spricht nicht zu seinen Gunsten.</w:t>
      </w:r>
    </w:p>
    <w:p>
      <w:r>
        <w:t>Entgegen der Auffassung des Beschwerdeführers lässt sich allein aus der Tatsache, dass er seit 2011 nicht mehr strafrechtlich belangt wurde, noch nicht ableiten, dass er auch tatsächlich die Lehren aus seinen Verfehlungen gezogen hat. Ebenso wenig trifft zu, dass er sich - wie er vorbringt - in den letzten Jahren "klaglos" verhalten hat. So kam er seiner Verpflichtung zur Bezahlung der am 14. Februar 2011 ausgesprochenen Geldstrafe nicht nach, weshalb diese mit Vollzugsbefehl vom 16. August 2012 in 720 Stunden gemeinnützige Arbeit umgewandelt wurde. Überhaupt zeugt die beträchtliche Anhäufung von Betreibungen und Verlustscheinen in den letzten zehn Jahren von einer bemerkenswerten Gleichgültigkeit des Beschwerdeführers gegenüber seinen finanziellen Verpflichtungen. Entgegen der Behauptung des Beschwerdeführers sind die Schulden aus der Zeit vor April 2010 nicht nur auf zwei Kredite zurückzuführen. Dem Betreibungsregisterauszug lässt sich entnehmen, dass der Beschwerdeführer namentlich auch seinen öffentlich-rechtlichen Verpflichtungen (u.a. Steuer- und Krankenkassenschulden) wiederholt nicht nachgekommen ist.</w:t>
      </w:r>
    </w:p>
    <w:p>
      <w:r>
        <w:rPr>
          <w:b/>
        </w:rPr>
        <w:t>E. 4.3</w:t>
      </w:r>
    </w:p>
    <w:p>
      <w:r>
        <w:t>Mit Blick auf seine finanzielle Lage führt der Beschwerdeführer aus, dass er im Jahr 2008 unverschuldet arbeitslos geworden und im April 2010 - zehn Tage vor der erneuten Arbeitsaufnahme - Opfer einer Messerstecherei geworden sei, welche eine nicht versicherte Arbeitsunfähigkeit von 21 Monaten zur Folge gehabt habe. Die Nichterfüllung seiner finanziellen Verpflichtungen sei somit nicht mutwillig erfolgt.</w:t>
      </w:r>
    </w:p>
    <w:p>
      <w:r>
        <w:t>In Bezug auf seine Arbeitsunfähigkeit macht der Beschwerdeführer eine offensichtlich unrichtige Sachverhaltsfeststellung durch die Vorinstanz geltend. Diese hielt mit Verweis auf das im Zusammenhang mit der Straftat ergangene Urteil nur eine zweiwöchige Arbeitsunfähigkeit für erwiesen, während der Beschwerdeführer seinerseits auf ein Arbeitsunfähigkeitszeugnis verweist, welches von Rudolf Schneider, Facharzt für Allgemeinmedizin, ausgestellt wurde. Das betreffende Dokument ist vom 17. Januar 2012 datiert und bescheinigt dem Beschwerdeführer - rückwirkend - eine Arbeitsunfähigkeit zu 100% für die Zeit zwischen dem 24. April 2010 und dem 15. Januar 2012. Weitere Einzelheiten lassen sich dem Zeugnis nicht entnehmen. Der Beschwerdeführer erläutert nicht näher die genaue Ursache bzw. die näheren Umstände seiner Arbeitsunfähigkeit über diesen längeren Zeitraum. Ebenso wenig legt er dar, ob und inwiefern er in dieser Zeit ärztlich behandelt worden sei. Zweifel hinsichtlich der Begründetheit der 21-monatigen Arbeitsunfähigkeit ergeben sich auch aus dem Umstand, dass der Beschwerdeführer während dieser Zeit mehrere SVG-Delikte verübt hat.</w:t>
      </w:r>
    </w:p>
    <w:p>
      <w:r>
        <w:t>Wie es sich genau damit verhält, muss aber nicht abschliessend geklärt werden, da die genaue Dauer der Arbeitsunfähigkeit des Beschwerdeführers im Ergebnis nicht entscheidwesentlich ist. Insbesondere ändert seine angebliche Arbeitsunfähigkeit zwischen April 2010 und Januar 2012 nichts daran, dass er bereits seit 2003 kontinuierlich Schulden angehäuft hat, für deren Entstehung er keine plausible Erklärung liefert. Dies bestätigt die vorinstanzliche Würdigung, dass der Beschwerdeführer seinen finanziellen Verpflichtungen mutwillig nicht nachgekommen ist. Auch nach Januar 2012 ist beim Beschwerdeführer keine finanzielle Stabilisierung erfolgt. Der Beschwerdeführer behauptet zwar, er arbeite und bezahle seine Schulden. Er legt jedoch nicht ansatzweise dar, welche Bemühungen er zur Bereinigung seiner finanziellen Situation getätigt hätte bzw. zu tätigen gedenke. Den kantonalen Akten lässt sich im Gegenteil entnehmen, dass der Beschwerdeführer behördliche Auskunftsbegehren diesbezüglich beharrlich ignorierte (vgl. Schreiben des Migrationsamtes vom 14. Juni 2013 und 17. Juli 2013).</w:t>
      </w:r>
    </w:p>
    <w:p>
      <w:r>
        <w:rPr>
          <w:b/>
        </w:rPr>
        <w:t>E. 4.4</w:t>
      </w:r>
    </w:p>
    <w:p>
      <w:r>
        <w:t>Insgesamt ist deshalb nicht zu bemängeln, dass die Vorinstanz in Anbetracht aller Umstände den Widerrufsgrund von Art. 63 Abs. 1 lit. b als gegeben erachtete.</w:t>
      </w:r>
    </w:p>
    <w:p>
      <w:r>
        <w:rPr>
          <w:b/>
        </w:rPr>
        <w:t>E. 5.1</w:t>
      </w:r>
    </w:p>
    <w:p>
      <w:r>
        <w:t>Auch die vorinstanzliche Interessenabwägung ist nicht zu beanstanden. Das Verwaltungsgericht hat die entgegenstehenden Interessen sorgsam gewichtet und gegeneinander abgewogen sowie ausführlich begründet, warum vorliegend die privaten Interessen des Beschwerdeführers hinter dem öffentlichen Interesse an seiner Wegweisung zurückzutreten haben.</w:t>
      </w:r>
    </w:p>
    <w:p>
      <w:r>
        <w:rPr>
          <w:b/>
        </w:rPr>
        <w:t>E. 5.2</w:t>
      </w:r>
    </w:p>
    <w:p>
      <w:r>
        <w:t>Der Beschwerdeführer lebt seit über 15 Jahren in der Schweiz, weshalb eine Ausreise fraglos mit einer gewissen Härte verbunden ist. Ihm ist auch zugute zu halten, dass er trotz seiner finanziellen Schwierigkeiten offensichtlich nie Sozialhilfeleistungen in Anspruch genommen hat. Dennoch kann von einer erfolgreichen Integration keine Rede sein. Insbesondere ist es dem Beschwerdeführer nicht gelungen, beruflich in der Schweiz Fuss zu fassen. Den vorinstanzlichen Sachverhaltsfeststellungen zufolge hat er keine Berufsausbildung. Zwar verfügt er seit Juni 2014 über eine Stelle als Hilfsgärtner, jedoch gab es immer wieder Phasen, in denen er keiner Beschäftigung nachging.</w:t>
      </w:r>
    </w:p>
    <w:p>
      <w:r>
        <w:t>Die vom Beschwerdeführer ausgeübten Tätigkeiten sind nicht an die Schweiz gebunden. Er kann sie auch in Mazedonien ausüben, wo er bis zu seinem 15. Lebensjahr gelebt hat. Zwar leben seine Eltern und Geschwister in der Schweiz. Dass er zu ihnen ein besonders enges Verhältnis hätte, macht er jedoch nicht geltend. Ebenso wenig beruft sich der Beschwerdeführer auf andere vertiefte soziale Bindungen zur Schweiz, die eine Ausreise unzumutbar erscheinen liessen. Den Kontakt zu seiner Heimat hat er offensichtlich nie abgebrochen, hat er doch 2012 in Mazedonien eine Landsfrau geheiratet, die dort mit dem gemeinsamen Kind lebt. Zudem besitzt er - wie er selbst vorbringt - ein Haus in Mazedonien. Insgesamt stehen seiner Wiedereingliederung im Heimatland somit keine unüberwindlichen Hindernisse entgegen.</w:t>
      </w:r>
    </w:p>
    <w:p>
      <w:r>
        <w:rPr>
          <w:b/>
        </w:rPr>
        <w:t>E. 6.1</w:t>
      </w:r>
    </w:p>
    <w:p>
      <w:r>
        <w:t>Nach dem Gesagten verletzt der vorinstanzliche Entscheid kein Bundesrecht und erweist sich als verhältnismässig. Bei diesem Ausgang des Verfahrens wird der unterliegende Beschwerdeführer gemäss Art. 66 Abs. 1 BGG grundsätzlich kostenpflichtig; er hat indessen um Gewährung der unentgeltlichen Rechtspflege ersucht.</w:t>
      </w:r>
    </w:p>
    <w:p>
      <w:r>
        <w:rPr>
          <w:b/>
        </w:rPr>
        <w:t>E. 6.2</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S. 218).</w:t>
      </w:r>
    </w:p>
    <w:p>
      <w:r>
        <w:t>Mit Blick auf die Tatsache, dass es sich im vorliegenden Fall um einen Grenzfall handelt, kann die Beschwerde nicht als geradezu aussichtslos bezeichnet werden. Das entsprechende Kriterium ist damit erfüllt. Da der Beschwerdeführer bis zum Existenzminimum gepfändet ist, ist auch die Mittellosigkeit nachgewiesen. Der Beschwerdeführer ist daher antragsgemäss von der Bezahlung der Gerichtskosten zu befreien.</w:t>
      </w:r>
    </w:p>
    <w:p>
      <w:r>
        <w:rPr>
          <w:b/>
        </w:rPr>
        <w:t>E. 6.3</w:t>
      </w:r>
    </w:p>
    <w:p>
      <w:r>
        <w:t>Der Beizug eines Rechtsvertreters ist in einer Streitsache wie der vorliegenden notwendig. Rechtsanwalt Franz Hollinger ist als unentgeltlicher Rechtsbeistand dem Beschwerdeführer zu bestellen. Als solcher hat er Anspruch auf eine angemessene Entschädigung ( Art. 64 Abs. 2 BGG ).</w:t>
      </w:r>
    </w:p>
    <w:p>
      <w:r>
        <w:rPr>
          <w:b/>
        </w:rPr>
        <w:t>E. 6.4</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