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2C_1151/2015 vom 5. September 2016</w:t>
      </w:r>
    </w:p>
    <w:p>
      <w:r>
        <w:t>Bundesgericht, 2016-09-05, DE</w:t>
      </w:r>
    </w:p>
    <w:p>
      <w:r>
        <w:rPr>
          <w:b/>
        </w:rPr>
        <w:t xml:space="preserve">Quelle: </w:t>
      </w:r>
      <w:r>
        <w:t>https://mcp.opencaselaw.ch/entscheid/bger_2C_1151_2015</w:t>
      </w:r>
    </w:p>
    <w:p>
      <w:r>
        <w:t>FR: TF 2C_1151/2015 du 5 septembre 2016</w:t>
      </w:r>
    </w:p>
    <w:p>
      <w:r>
        <w:t>IT: TF 2C_1151/2015 del 5 settembre 2016</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Der Beschwerdeführer macht in vertretbarer Weise geltend, gestützt auf die Ehe mit einer Schweizer Bürgerin (Art. 42 Abs. 1 i.V.m. Art. 50 Abs. 1 lit. b und Abs. 2 AuG [SR 142.20]) über einen potentiellen Bewilligungsanspruch zu verfügen, weshalb die Beschwerde in öffentlich-rechtlichen Angelegenheiten zulässig ist.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Das vom Beschwerdeführer dem Bundesgericht am 13. Juli 2016 eingereichte Schreiben, wonach seine Lebenspartnerin bestätige, dass sie wieder zusammen leben würden, ist als echtes Novum im bundesgerichtlichen Verfahren unzulässig und kann daher nicht weiter beachtet werden ( Art. 99 Abs. 1 BGG ; BGE 139 III 120 E. 3.1.2 S. 123; 133 IV 342 E. 2.1 S. 343 f.).</w:t>
      </w:r>
    </w:p>
    <w:p>
      <w:r>
        <w:rPr>
          <w:b/>
        </w:rPr>
        <w:t>E. 3</w:t>
      </w:r>
    </w:p>
    <w:p>
      <w:r>
        <w:t>Ausländische Ehegatten von Schweizerinnen und Schweizern haben Anspruch auf Erteilung und Verlängerung der Aufenthaltsbewilligung, wenn sie mit diesen zusammenwohnen (Art. 42 Abs. 1 AuG). Der Anspruch besteht trotz Auflösens oder definitiven Scheiterns der Ehegemeinschaft fort, wenn diese mindestens drei Jahre gedauert und die betroffene ausländische Person sich hier erfolgreich integriert hat (Art. 50 Abs. 1 lit. a AuG) oder wenn wichtige persönliche Gründe einen weiteren Aufenthalt in der Schweiz erforderlich machen (Art. 50 Abs. 1 lit. b AuG).</w:t>
      </w:r>
    </w:p>
    <w:p>
      <w:r>
        <w:rPr>
          <w:b/>
        </w:rPr>
        <w:t>E. 3.1</w:t>
      </w:r>
    </w:p>
    <w:p>
      <w:r>
        <w:t>Da die Ehe nicht länger als drei Jahre gedauert hat (die Trennung ist unbestrittenermassen spätestens am 12. Mai 2012 erfolgt), beruft sich der Beschwerdeführer zu Recht nicht auf Art. 50 Abs. 1 lit. a AuG. Er macht aber einen nachehelichen Härtefall geltend.</w:t>
      </w:r>
    </w:p>
    <w:p>
      <w:r>
        <w:rPr>
          <w:b/>
        </w:rPr>
        <w:t>E. 3.2</w:t>
      </w:r>
    </w:p>
    <w:p>
      <w:r>
        <w:t>Nach Art. 50 Abs. 1 lit. b AuG können wichtige persönliche Gründe einen weiteren Aufenthalt in der Schweiz erforderlich machen. Solche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Bei der Beurteilung der wichtigen persönlichen Gründe sind sämtliche Aspekte des Einzelfalles mitzuberücksichtigen, namentlich können auch die in Art. 31 Abs. 1 der Verordnung vom 24. Oktober 2007 über Zulassung, Aufenthalt und Erwerbstätigkeit (VZAE; SR 142.201) erwähnten Gesichtspunkte bei der entsprechenden Wertung eine Rolle spielen. Entscheidend ist, ob die persönliche, berufliche und familiäre Wiedereingliederung als stark gefährdet zu gelten hat, und nicht,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AuG abgeleiteten Anwesenheitsberechtigung verbunden sind. Der Härtefall muss sich zudem auf die Ehe und den damit verbundenen Aufenthalt beziehen (vgl. zum Ganzen BGE 139 II 393 E. 6 S. 403; 138 II 229 E. 3.1 S. 232; 137 II 345 E. 3.2.3 S. 349 f.). Insofern hat eine gewisse Kontinuität bzw. Kausalität mit bzw. zur gescheiterten ehelichen und familiären Gemeinschaft zu bestehen (THOMAS HUGI YAR, Von Trennungen, Härtefällen und Delikten - Ausländerrechtliches rund um die Ehe- und Familiengemeinschaft, in: Jahrbuch für Migrationsrecht 2012/2013, S. 81). Ist der Anspruch nach Art. 50 AuG bereits untergegangen, weil es etwa am Zusammenwohnen fehlt, ohne dass wichtige Gründe für das Getrenntleben gegeben wären, kann der Anspruch regelmässig nicht wieder aufleben ( BGE 137 II 345 E. 3.2.3 S. 350).</w:t>
      </w:r>
    </w:p>
    <w:p>
      <w:r>
        <w:rPr>
          <w:b/>
        </w:rPr>
        <w:t>E. 3.2.1</w:t>
      </w:r>
    </w:p>
    <w:p>
      <w:r>
        <w:t>Gemäss vorinstanzlichem Urteil reiste der Beschwerdeführer im November 2003 im Alter von 24 Jahren zwecks Studiums in die Schweiz ein. Zuletzt war er im Studienjahr 2008/2009 mit dem Studienziel "Bachelor en droit" an der Universität Neuenburg immatrikuliert. Nach der Heirat (31. Juli 2009) gab er das Studium auf und arbeitete in einem Fastfood-Restaurant. Am 6. März und am 6. August 2011 wurde er an seinem damaligen Arbeitsplatz Opfer tätlicher Angriffe. Dabei sollen ihm gemäss seinen Angaben jeweils jugendliche Täter ins Gesicht gespuckt und ihn verprügelt haben. In der Folge wurde bei ihm eine mittelgradig depressive Episode mit somatischem Syndrom sowie eine posttraumatische Belastungsstörung mit protrahiertem Verlauf diagnostiziert. Zwischen Mitte Mai und Mitte Oktober 2012 befand sich der Beschwerdeführer in (teil) stationärer psychiatrischer Behandlung. Während dieser Zeit wurde ihm eine Arbeitsunfähigkeit von 100% attestiert. Zurzeit ist er als Servicemitarbeiter mit einem Arbeitspensum von rund 50% tätig. Er steht nach wie vor in medikamentöser und psychiatrischer Behandlung, wobei er etwa zweiwöchentlich einen Psychotherapie-Termin wahrnimmt.</w:t>
      </w:r>
    </w:p>
    <w:p>
      <w:r>
        <w:rPr>
          <w:b/>
        </w:rPr>
        <w:t>E. 3.2.2</w:t>
      </w:r>
    </w:p>
    <w:p>
      <w:r>
        <w:t>Der Beschwerdeführer bringt vor, aufgrund der beiden erlittenen Angriffe in eine eheliche Krise geschlittert zu sein, die schliesslich zur Auflösung der Ehegemeinschaft geführt habe. Dagegen befand die Vorinstanz, es fehle an einem hinreichenden Bezug des vorgebrachten Härtefalls zur ehelichen Gemeinschaft bzw. zu deren Auflösung.</w:t>
      </w:r>
    </w:p>
    <w:p>
      <w:r>
        <w:t>Der vorinstanzlichen Auffassung ist zu folgen: Die Angriffe auf den Beschwerdeführer erfolgten durch unbekannte Dritte an seinem damaligen Arbeitsplatz; sie hatten mit der Ehe nichts zu tun. Zwar ist nachvollziehbar, dass die Übergriffe den Beschwerdeführer schwer getroffen haben und er fortwährende gesundheitliche Beschwerden erlitten hat. Diese mögen sich auch auf die eheliche Beziehung ausgewirkt haben. Allerdings liegt damit noch nicht ein wichtiger persönlicher Grund im Sinne eines nachehelichen Härtefalls vor. So sind nicht nur, aber in erster Linie die Opfer von familiärer Gewalt Schutzziel von Art. 50 Abs. 1 lit. b i.V.m. Abs. 2 AuG. Es geht um Situationen, in denen die im Familiennachzug zugelassene Person</w:t>
      </w:r>
    </w:p>
    <w:p>
      <w:r>
        <w:t>durch das Zusammenleben in ihrer Persönlichkeit ernstlich gefährdet ist und ihr eine Fortführung der ehelichen Beziehung nicht länger zugemutet werden kann (vgl. Urteil 2C_365/2010 vom 22. Juni 2011 E. 3.3). Dass der Beschwerdeführer Opfer ehelicher Gewalt geworden wäre, wird nicht geltend gemacht und ist auch nicht ersichtlich. Dagegen vermag nach der gesetzlichen Konzeption nicht jede unglückliche, belastende und nicht den eigenen Vorstellungen entsprechende Entwicklung einer Beziehung bereits einen nachehelichen Härtefall und ein weiteres Anwesenheitsrecht in der Schweiz zu begründen ( BGE 138 II 229 E. 3.2.2 S. 233). Gegenteilig zu entscheiden liefe, wie auch die Vorinstanz ausführt, darauf hinaus, eine Anspruchsgrundlage zu schaffen, die über den Anwendungsbereich der nachehelichen Härtefallklausel hinausgeht.</w:t>
      </w:r>
    </w:p>
    <w:p>
      <w:r>
        <w:t>Die Vorinstanz hat im Übrigen, insbesondere mit Verweis auf die Aussagen der Ehefrau, ausführlich und überzeugend dargelegt, dass - nebst der gesundheitlichen Verfassung des Beschwerdeführers - weitere Trennungsgründe vorgelegen hatten. Der Beschwerdeführer weist diese als "unwahre und falsche Behauptungen" seiner Ehefrau zurück, wobei er sich seinerseits auf entsprechende Behauptungen beschränkt. Es braucht indes nicht weiter hierauf eingegangen zu werden; wie gesehen ist im vorliegenden Fall der Umstand, dass sich seine Ehefrau von ihm getrennt hat, unabhängig von den Trennungsgründen nicht als nachehelicher, anspruchsvermittelnder Härtefall zu werten.</w:t>
      </w:r>
    </w:p>
    <w:p>
      <w:r>
        <w:rPr>
          <w:b/>
        </w:rPr>
        <w:t>E. 3.2.3</w:t>
      </w:r>
    </w:p>
    <w:p>
      <w:r>
        <w:t>Den vorinstanzlichen Erwägungen zu seiner aktuellen Gesundheitssituation und zur medizinischen Versorgung in Marokko setzt der Beschwerdeführer nichts entgegen. Auch macht er (zu Recht) keine starke Gefährdung seiner sozialen Wiedereingliederung in seinem Herkunftsland geltend. Er kann somit aus Art. 50 Abs. 1 lit. b i.V.m. Abs. 2 AuG nichts zu seinen Gunsten ableiten.</w:t>
      </w:r>
    </w:p>
    <w:p>
      <w:r>
        <w:rPr>
          <w:b/>
        </w:rPr>
        <w:t>E. 3.3</w:t>
      </w:r>
    </w:p>
    <w:p>
      <w:r>
        <w:t>Sollte der Beschwerdeführer mit dem Vorwurf der willkürlichen Ermessensausübung auch die Verweigerung einer Ermessensbewilligung durch die Vorinstanz rügen, ist darauf hinzuweisen, dass gegen einen Ermessensentscheid allenfalls die subsidiäre Verfassungsbeschwerde offensteht (vgl. bereits E. 1 sowie Art. 83 lit. c Ziff. 2 und Art. 113 BGG ). Mangels des hierzu erforderlichen rechtlich geschützten Interesses (vgl. BGE 133 I 185 ff.) bzw. der Rüge einer von der Sache selber losgelöst beurteilbaren formellen Rechtsverweigerung ("Star"-Praxis; vgl. BGE 137 II 305 E. 2 S. 308) wäre darauf nicht einzutreten (vgl. Urteil 2C_243/2015 vom 2. November 2015 E. 1.2).</w:t>
      </w:r>
    </w:p>
    <w:p>
      <w:r>
        <w:rPr>
          <w:b/>
        </w:rPr>
        <w:t>E. 4</w:t>
      </w:r>
    </w:p>
    <w:p>
      <w:r>
        <w:t>Nach dem Gesagten ist die Beschwerde als unbegründet abzuweisen. Der unterliegende Beschwerdeführer trägt die Gerichtskosten (vgl. Art. 65 und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