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1140/2015 vom 7. Juni 2016</w:t>
      </w:r>
    </w:p>
    <w:p>
      <w:r>
        <w:t>Bundesgericht, 2016-06-07, DE</w:t>
      </w:r>
    </w:p>
    <w:p>
      <w:r>
        <w:rPr>
          <w:b/>
        </w:rPr>
        <w:t xml:space="preserve">Quelle: </w:t>
      </w:r>
      <w:r>
        <w:t>https://mcp.opencaselaw.ch/entscheid/bger_2C_1140_2015</w:t>
      </w:r>
    </w:p>
    <w:p>
      <w:r>
        <w:t>FR: TF 2C 1140/2015 du 7 juin 2016</w:t>
      </w:r>
    </w:p>
    <w:p>
      <w:r>
        <w:t>IT: TF 2C 1140/2015 del 7 giugno 2016</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er habe gestützt auf seinen Anspruch auf Familienleben mit seiner minderjährigen Tochter ein Recht auf Verlängerung seiner Aufenthaltsbewilligung (Art. 50 Abs. 1 lit. b AuG; Art. 8 EMRK ). Die Beschwerde ist zulässig und der Beschwerdeführer dazu legitimiert ( Art. 89 Abs. 1 BGG ). Auf die Beschwerde ist, vorbehältlich der Erfüllung der qualifizierten Rüge- und Begründungspflicht für Grundrechte ( Art. 106 Abs. 2 BGG ), und in dem Umfang, wie sie sich gegen die Nichtverlängerung seiner Aufenthaltsbewilligung richtet, einzutreten. Nicht weiter einzugehen ist demgegenüber auf die zulässigerweise gegen die Wegweisung erhobene subsidiäre Verfassungsbeschwerde (Art. 83 lit. c Ziff. 4 e contrario BGG in Verbindung mit Art. 113 ff. BGG ), weil die Wegweisung nur die Folge der anbegehrten Aufhebung der Nichtverlängerung der Aufenthaltsbewilligung ist.</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2</w:t>
      </w:r>
    </w:p>
    <w:p>
      <w:r>
        <w:t>Der Beschwerdeführer rügt, seine Ehe habe unter Berücksichtigung der im Ausland verbrachten Zeit fast vier Jahre gedauert, weshalb von einem weiter bestehenden Anspruch auf Verlängerung der Aufenthaltsbewilligung gemäss Art. 50 Abs. 1 lit. a AuG auszugehen sei. Sollten diese Anspruchsvoraussetzungen wider Erwarten nicht erfüllt sein, so sei seine Aufenthaltsbewilligung gestützt auf sein Recht auf Familienleben mit seiner Tochter gemäss Art. 50 Abs. 1 lit. b AuG und Art. 8 EMRK zu verlängern.</w:t>
      </w:r>
    </w:p>
    <w:p>
      <w:r>
        <w:rPr>
          <w:b/>
        </w:rPr>
        <w:t>E. 2.1</w:t>
      </w:r>
    </w:p>
    <w:p>
      <w:r>
        <w:t>Die Vorinstanz hat zutreffenderweise einen Anspruch des Beschwerdeführers auf Verlängerung seiner Aufenthaltsbewilligung gestützt auf Art. 50 Abs. 1 lit. a AuG mangels dreijähriger Ehedauer verneint. Soweit der Beschwerdeführer geltend macht, nach dem Wortlaut von Art. 50 Abs. 1 lit. a AuG müsse auch die Dauer der Ehegemeinschaft im Ausland berücksichtigt werden, übersieht er, dass das Bundesgericht in Auseinandersetzung mit der Lehre, unter Berücksichtigung der Materialien, der Gesetzessystematik und der Gebote der Praktikabilität anders entschieden hat ( BGE 137 II 345 E. 3.1.3 S. 347 f; 136 II 113 E. 3.3. S. 117 ff.). Die Beschwerde erweist sich in diesem Punkt als unbegründet.</w:t>
      </w:r>
    </w:p>
    <w:p>
      <w:r>
        <w:rPr>
          <w:b/>
        </w:rPr>
        <w:t>E. 2.2.1</w:t>
      </w:r>
    </w:p>
    <w:p>
      <w:r>
        <w:t>Nach Art. 50 Abs. 1 lit. b AuG besteht auch nach kürzerer als dreijähriger Dauer des ehelichen Zusammenlebens ein Anspruch auf Verlängerung der Aufenthaltsbewilligung, wenn wichtige persönliche Gründe einen weiteren Aufenthalt in der Schweiz erforderlich machen. Solche Gründe können insbesondere in einer schützenswerten, in den Anwendungsbereich von Art. 8 EMRK und Art. 13 BV fallenden kindesrechtlichen Beziehung zu einer in der Schweiz aufenthaltsberechtigten Person bestehen ( BGE 139 I 315 E. 2.1 S. 319). Im Grundsatz ist dabei davon auszugehen, dass der sachliche Anwendungsbereich von Art. 50 Abs. 1 lit. b AuG vorab gemeinsame Kinder aus der inzwischen aufgelösten Familiengemeinschaft erfasst (THOMAS HUGI YAR, Von Trennungen, Härtefällen und Delikten - Ausländerrechtliches rund um die Ehe- und Familiengemeinschaft, in: Jahrbuch für Migrationsrecht 2012/ 2013, S. 80, mit zahlreichen Hinweisen). Gemeinsame Kinder bestehen hier nicht. Zu berücksichtigen ist jedoch, dass die wichtigen persönlichen Gründe im Sinne von Art. 50 Abs. 1 lit. b AuG nicht einschränkender verstanden werden können als allfällige, sich aus Art. 8 EMRK ergebende Ansprüche auf Erteilung bzw. Verlängerung der Aufenthaltsbewilligung (Urteile 2C_1141/2014 vom 10. September 2015 E. 2.3; 2C_326/2013 vom 20. November 2013 E. 2.4; 2C_318/ 2013 vom 5. September 2013 E. 3.3; 2C_327/2010 und 2C_328/2010 vom 19. Mai 2011 E. 2.2, nicht publ. in: BGE 137 I 247 ). Der Beschwerdeführer beruft sich zur Begründung seines Bewilligungsanspruchs auf seine Beziehung zu einer neuen Partnerin, welche die Niederlassungsbewilligung besitzt, und zu der aus dieser Beziehung stammenden gemeinsamen Tochter. Es ist unklar, wie weit die Vorinstanz einen allfälligen aus dieser neuen Situation resultierenden Bewilligungsanspruch geprüft hat. Einerseits hat sie erwogen (E. 1.2), von der neuen Partnerin bzw. für die Tochter sei bisher kein Gesuch um Familiennachzug in der Person des Beschwerdeführers gestellt worden; ein solches Gesuch, über welches erstinstanzlich das Migrationsamt zu befinden hätte, bilde nicht Verfahrensgegenstand. Andererseits hat sie sich in E. 4.1.2 (summarisch) zur Beziehung zur Tochter geäussert, aber in E. 4.2 wiederum ausgeführt, ein erneutes Familiennachzugsgesuch sei nicht gestellt worden. Verfahrensgegenstand vor der Vorinstanz war die Aufenthaltsbewilligung des Beschwerdeführers. Aufgrund welcher Rechtsgrundlagen und Sachverhaltselemente sich ein allfälliger Bewilligungsanspruch ergibt, ist nicht Frage des Streitgegenstands, sondern der Begründung (Urteil 2C_961/2013 vom 29. April 2014 E. 3.4). Gemäss Art. 110 BGG muss mindestens ein kantonales Gericht das Recht von Amtes wegen anwenden und den Sachverhalt frei prüfen, soweit er in prozessual zulässiger Weise vorgebracht wurde (2C_345/2015 vom 24. November 2015 E. 2.3). Ein Novenverbot ist nicht zulässig, wenn im Kanton nur eine einzige gerichtliche Instanz besteht ( BGE 135 II 369 E. 3.3 S. 374; Urteil 2C_219/2015 vom 20. November 2015 E. 4.1.3). Vorliegend hat der Beschwerdeführer vor der Vorinstanz einen Aufenthaltsanspruch aufgrund von Art. 8 EMRK gestützt auf sein Verhältnis zu der aus einer neuen Beziehung stammenden Tochter geltend gemacht. Es handelt sich dabei entgegen der Auffassung der Vorinstanz nicht um einen anderen Verfahrensgegenstand, sondern um einen neuen sachverhaltlichen Umstand, der im Rahmen des hängigen Verfahrens zu beurteilen gewesen wäre.</w:t>
      </w:r>
    </w:p>
    <w:p>
      <w:r>
        <w:rPr>
          <w:b/>
        </w:rPr>
        <w:t>E. 2.2.2</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mit diesen verunmöglicht wird. Zu berücksichtigen ist jedoch weiter, dass der Anspruch auf Achtung des Privat- und Familienlebens gemäss Art. 8 Abs. 1 EMRK nicht absolut gilt, sondern rechtmässig eingeschränkt werden kann, wenn dies gesetzlich vorgesehen ist, einem legitimen Zweck entspricht und zu dessen Realisierung in einer demokratischen Gesellschaft als notwendig erscheint ( Art. 8 Ziff. 2 EMRK ). Die Konvention verlangt, dass die individuellen Interessen an der Erteilung bzw. am Erhalt des Anwesenheitsrechts und der öffentlichen Interessen an dessen Verweigerung gegeneinander abgewogen werden ( Art. 8 Ziff. 2 EMRK ; BGE 142 II 35 E. 6.1 S. 47 ; 139 I 330 E. 2.2 S. 336 ; 135 I 143 E. 2.1 S. 147; 122 II 1 E. 2 S. 6; 116 Ib 353 E. 3 S. 357 ff.).</w:t>
      </w:r>
    </w:p>
    <w:p>
      <w:r>
        <w:rPr>
          <w:b/>
        </w:rPr>
        <w:t>E. 2.2.3</w:t>
      </w:r>
    </w:p>
    <w:p>
      <w:r>
        <w:t>Unter dem Gesichtspunkt des Anspruchs auf Familienleben ( Art. 8 Ziff. 1 EMRK sowie Art. 13 Abs. 1 BV ) ist es grundsätzlich ausreichend, wenn ein nicht sorge- und/oder obhutsberechtigter ausländischer Elternteil seinen Kontakt zu einem in der Schweiz aufenthaltsberechtigten Kind im Rahmen von Kurzaufenthalten vom Ausland her ausüben kann, wobei allenfalls die Modalitäten des Besuchsrechts entsprechend auszugestalten sind ( BGE 139 I 315 E. 2.2 S. 319). Besteht jedoch eine in affektiver und wirtschaftlicher Beziehung besonders enge Beziehung zum Kind , und kann diese Beziehung wegen der Distanz zwischen der Schweiz und dem Staat, in welchen die ausländische Person mutmasslich auszureisen hätte, praktisch nicht aufrechterhalten werden, ist nicht nur der Schutzbereich von Art. 8 Ziff. 1 EMRK tangiert, sondern vermögen im Einzelfall diese schutzwürdige Beziehung zum Kind sowie ein weitgehend tadelloses Verhalten der gesuchstellenden ausländischen Person im Rahmen der nach Art. 8 Ziff. 2 EMRK durchzuführenden Interessenabwägung das öffentliche Interesse an deren Ausreise zu überwiegen ( BGE 142 II 35 E. 6.1 und 6.2 S. 46 ff.; BGE 140 I 145 E. 3.2 S. 148 ; 139 I 315 E. 2.2 S. 319 ff., unter Hinweis auf BGE 120 Ib 1 E. 3c S. 5; 120 Ib 22 E. 4 S. 24 ff.; Urteil 2C_111/2014 vom 25. September 2014 E. 4.3.2). Massgeblich für das Ausmass der affektiven Beziehung zum Kind ist insbesondere der persönliche Kontakt zwischen dem Gesuchsteller und dem Kind. Die faktische Ausübung des persönlichen Kontakts muss daher von der zuständigen Behörde notwendigerweise mit geeigneten Massnahmen abgeklärt werden, wobei dem Gesuchsteller eine den Untersuchungsgrundsatz relativierende Mitwirkungspflicht zukommt (Art. 90 AuG; Urteile 2C_123/2015 vom 30. September 2015 E. 2.3; 2C_2/2015 vom 13. August 2015 E. 2.3; 2C_81/2011 vom 1. September 2011 E. 3.7).</w:t>
      </w:r>
    </w:p>
    <w:p>
      <w:r>
        <w:rPr>
          <w:b/>
        </w:rPr>
        <w:t>E. 2.3</w:t>
      </w:r>
    </w:p>
    <w:p>
      <w:r>
        <w:t>Der Beschwerdeführer hat im Verfahren vor dem kantonalen Justiz- und Sicherheitsdepartement geltend gemacht, mit der Kindsmutter und der aus dieser Beziehung hervorgegangenen Tochter zusammen zu wohnen und ein enges Verhältnis zu dieser zu pflegen. Die Vorinstanz hat ungeachtet dieser Vorbringen des Beschwerdeführers das Ausmass des persönlichen Kontaktes zwischen dem gesuchstellenden Kindesvater und seiner Tochter sachverhaltsmässig nicht festgestellt, sondern dazu einzig ausgeführt, der Beschwerdeführer habe die bereits Ende Mai 2015 geborene Tochter erst Ende September 2015 anerkannt, was gegen intensive Bemühungen zur rechtlichen Stabilisierung des Verhältnisses zu diesem Kind spreche. Diese im Lichte des einschlägigen materiellen Rechts (vgl. dazu oben, E. 2.2.3) unvollständige Sachverhaltsfeststellung (siehe oben, E. 1.4) erweist sich für den Verfahrensausgang deswegen als ausschlaggebend ( Art. 97 Abs. 1 BGG ), weil angesichts der übrigen Sachverhaltsfeststellungen der Vorinstanz nicht ausgeschlossen werden kann, dass der Kindsvater auch in wirtschaftlicher Hinsicht ein besonders enges Verhältnis zu seiner Tochter pflegt und er sich während seines bisherigen Aufenthalts in der Schweiz weitgehend tadellos verhalten hat. Die Vorinstanz hat den für diese Kriterien (vgl. dazu oben, E. 2.2.3) erheblichen Sachverhalt ebenfalls nicht rechtsgenüglich erhoben und konnte in antizipierter Beweiswürdigung darauf auch nicht verzichten: Der Umstand, dass der gesuchstellende Kindsvater mit seiner Beschwerde an die Vorinstanz vom 9. Juni 2015 noch keinen Unterhaltsvertrag betreffend seine erst am 26. Mai 2015 geborene Tochter einreichte, lässt für sich genommen nicht mit an Sicherheit grenzender Wahrscheinlichkeit den Schluss zu, der Beschwerdeführer komme in wirtschaftlicher Hinsicht nicht für seine Tochter auf. Das einzige aktenkundige Strafverfahren gegen den Beschwerdeführer - Strafanzeige wegen Drohung und Verleumdung durch seine geschiedene Ehefrau - war zum Zeitpunkt des Erlasses des angefochtenen Urteils gemäss den Angaben des Beschwerdeführers durch eine Nichtanhandnahmeverfügung erledigt worden (angefochtenes Urteil, S. 6 f.; zum Novenverbot im bundesgerichtlichen Verfahren vgl. Art. 99 Abs. 1 BGG ). Zusammenfassend verletzt das angefochtene Urteil materielles Bundesrecht, weshalb sich die Beschwerde in öffentlich-rechtlichen Angelegenheiten als begründet erweist, das angefochtene Urteil aufzuheben und die Sache zur weiteren Sachverhaltsabklärung und zu neuem Entscheid an die Vorinstanz zurückzuweisen ist.</w:t>
      </w:r>
    </w:p>
    <w:p>
      <w:r>
        <w:rPr>
          <w:b/>
        </w:rPr>
        <w:t>E. 3</w:t>
      </w:r>
    </w:p>
    <w:p>
      <w:r>
        <w:t>Bei diesem offenen Ausgang des Verfahrens sind keine Gerichtskosten zu erheben ( Art. 66 Abs. 1 BGG ). Der Kanton Thurgau hat dem Beschwerdeführer für das bundesgerichtliche Verfahren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