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2C_112/2009 vom 7. Mai 2009</w:t>
      </w:r>
    </w:p>
    <w:p>
      <w:r>
        <w:t>Bundesgericht, 2009-05-07, FR</w:t>
      </w:r>
    </w:p>
    <w:p>
      <w:r>
        <w:rPr>
          <w:b/>
        </w:rPr>
        <w:t xml:space="preserve">Quelle: </w:t>
      </w:r>
      <w:r>
        <w:t>https://mcp.opencaselaw.ch/entscheid/bger_2C_112_2009</w:t>
      </w:r>
    </w:p>
    <w:p>
      <w:r>
        <w:t>FR: TF 2C_112/2009 du 7 mai 2009</w:t>
      </w:r>
    </w:p>
    <w:p>
      <w:r>
        <w:t>IT: TF 2C_112/2009 del 7 maggio 2009</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loi sur les étrangers RS 142.20; cf. ch. I de l'annexe à l'art. 125 LEtr). Toutefois, comme le refus de prolonger l'autorisation de séjour du recourant a été prononcé avant l'entrée en vigueur de la nouvelle loi, la présente cause est régie par l'ancien droit (art. 126 al. 1 LEtr).</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2.1</w:t>
      </w:r>
    </w:p>
    <w:p>
      <w:r>
        <w:t>D'après l' art. 7 al. 2 LSEE , le conjoint étranger d'un ressortissant suisse a droit après un séjour régulier et ininterrompu de cinq ans à l'autorisation d'établissement. En l'espèce, même s'il a été marié à une ressortissante suisse (du 19 septembre 1996 au 8 février 2005) et a séjourné légalement en Suisse de manière ininterrompue durant plus de cinq ans (du 19 septembre 1996 au mois de septembre 2004), c'est à juste titre que le recourant ne se prévaut pas de l'art. 7 al. 1, 2ème phrase, LSEE. Les époux ayant vécu séparés dès le 30 septembre 1998, invoquer cette disposition constituerait un abus de droit.</w:t>
      </w:r>
    </w:p>
    <w:p>
      <w:r>
        <w:rPr>
          <w:b/>
        </w:rPr>
        <w:t>E. 2.2</w:t>
      </w:r>
    </w:p>
    <w:p>
      <w:r>
        <w:t>Un étranger peut aussi,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En l'espèce, les enfants du recourant, qui sont mineurs et vivent aux côtés de leur mère, sont ressortissants suisses. Dans son arrêt, l'instance précédente a constaté que le recourant exerce un droit de visite sur ses enfants. Dans la mesure où l'arrêt attaqué a des incidences sur ses relations personnelles avec eux, le recourant peut donc se prévaloir de l' art. 8 CEDH , de sorte que la voie de recours en matière de droit public est ouverte ( art. 83 let . c ch. 2 LTF a contrario).</w:t>
      </w:r>
    </w:p>
    <w:p>
      <w:r>
        <w:rPr>
          <w:b/>
        </w:rPr>
        <w:t>E. 2.3</w:t>
      </w:r>
    </w:p>
    <w:p>
      <w:r>
        <w:t>Au surplus, déposé en temps utile ( art. 100 al. 1 et 45 LTF ) et dans les formes prescrites par la loi ( art. 42 LTF ) par le destinataire de l'arrêt attaqué qui a un intérêt digne de protection à son annulation ou à sa modification ( art. 89 al. 1 LTF ), le présent recours est recevable en vertu des art. 82 ss LTF .</w:t>
      </w:r>
    </w:p>
    <w:p>
      <w:r>
        <w:rPr>
          <w:b/>
        </w:rPr>
        <w:t>E. 3</w:t>
      </w:r>
    </w:p>
    <w:p>
      <w:r>
        <w:t>Invoquant l' art. 8 CEDH , le recourant se plaint de la mauvaise pesée des intérêts privé et public à laquelle aurait procédé l'instance précédente.</w:t>
      </w:r>
    </w:p>
    <w:p>
      <w:r>
        <w:rPr>
          <w:b/>
        </w:rPr>
        <w:t>E. 3.1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consid.3c p. 5; arrêt 2C_693/2008 du 2 février 2009, consid. 2.1 destiné à la publication).</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127 II 60 consid. 2a p. 67; 122 II 289 consid. 3c p. 298; arrêt 2C_693/2008 du 2 février 2009, consid. 2.2 destiné à la publication).</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2D_99/2008 du 16 février 2009, consid. 2.3,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3.2</w:t>
      </w:r>
    </w:p>
    <w:p>
      <w:r>
        <w:t>En l'espèce, l'instance précédente a retenu que les relations entre le recourant et ses enfants avaient lieu durant les visites organisées par l'office des mineurs dans un point-rencontre. Avant cette organisation suggérée à la mère des enfants par le psychiatre qui traitait l'aîné, les longues périodes de silence du père suivies de visites inopinées déstabilisaient les enfants. Les contacts entre le père et ses fils, qui n'en réclamaient pas, n'avaient ainsi jamais pu être entretenus de façon régulière depuis la séparation des parents. L'instance précédente a en outre retenu que le recourant vivait grâce à l'aide sociale depuis 1996. Certes le recourant soutient qu'une autorisation de séjour - qu'il n'avait plus depuis 2004 - aurait facilité son insertion dans la vie civile. Il perd de vue sur ce point que dès son arrivée en Suisse, il a disposé d'un permis de séjour, ce qui ne l'a pas empêché d'être entretenu par l'assistance sociale depuis 1996 déjà. L'absence d'insertion professionnelle n'est donc pas due uniquement au défaut de permis de séjour. Quoi qu'il en soit, il suffit de constater ici que le recourant n'a pas de travail ni par conséquent de revenus qui lui permettent de subvenir aux besoins de ses enfants. Il n'existe par conséquent aucun lien économique ni liens affectifs forts entre le recourant et ses fils qui méritent la protection de l' art. 8 CEDH , le droit de visite n'ayant pas été exercé de manière régulière, spontanée et sans encombre.</w:t>
      </w:r>
    </w:p>
    <w:p>
      <w:r>
        <w:t>Enfin, le comportement du recourant n'est pas irréprochable. Il a été condamné à 15 mois, 10 jours, puis une nouvelle fois, à 18 mois d'emprisonnement pour infractions à la loi fédérale sur les stupéfiants. Ces peines, dont le total dépasse 2 ans, ont, il est vrai, été suspendues au profit de traitements. Ces derniers n'ont toutefois pas permis au recourant de mettre un terme à sa situation de dépendance, ce qui permet de poser un pronostic défavorable quant à un éventuel amendement du recourant. Dans ces conditions, non seulement le recourant n'a pas eu un comportement irréprochable, mais il remplit encore les conditions plus sévères d'une révocation de son autorisation de séjour (cf. art. 62 s. LEtr).</w:t>
      </w:r>
    </w:p>
    <w:p>
      <w:r>
        <w:t>Le recourant fait valoir qu'il est en Suisse depuis longtemps. Il omet toutefois de dire qu'il n'est arrivé de Tunisie en Suisse qu'à l'âge de trente ans, que son séjour régulier en Suisse n'a pas duré douze ans mais huit ans, de sorte que la durée de son séjour en Suisse ne saurait faire pencher la balance en sa faveur et qu'un retour dans son pays d'origine ne constitue pas un déracinement.</w:t>
      </w:r>
    </w:p>
    <w:p>
      <w:r>
        <w:t>Un départ du recourant compliquerait assurément l'exercice du droit de visite, sans toutefois y apporter d'obstacle qui le rendrait pratiquement impossible dans le cadre de séjours à but touristique.</w:t>
      </w:r>
    </w:p>
    <w:p>
      <w:r>
        <w:t>Ces faits montrent que le Tribunal administratif pouvait, sans violer l' art. 8 CEDH , juger que l'intérêt public au refus d'une autorisation de séjour, au vu du comportement répréhensible du recourant, de sa dépendance à l'aide sociale et de l'absence d'intégration professionnelle en Suisse l'emportait sur les relations très lâches entre celui-ci et ses fils.</w:t>
      </w:r>
    </w:p>
    <w:p>
      <w:r>
        <w:rPr>
          <w:b/>
        </w:rPr>
        <w:t>E. 4</w:t>
      </w:r>
    </w:p>
    <w:p>
      <w:r>
        <w:t>Les considérants qui précèdent conduisent au rejet du recours.</w:t>
      </w:r>
    </w:p>
    <w:p>
      <w:r>
        <w:t>Les conclusions du recourant apparaissant d'emblée dénuées de chance de succès, sa requête d'assistance judiciaire doit être rejetée (art. 64 al LTF a contrario). Les frais de justice seront fixés compte tenu de sa situation financière ( art. 64 al. 2 LTF ). Succombant, le recourant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