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2C_1129/2014 vom 1. April 2015</w:t>
      </w:r>
    </w:p>
    <w:p>
      <w:r>
        <w:t>Bundesgericht, 2015-04-01, FR</w:t>
      </w:r>
    </w:p>
    <w:p>
      <w:r>
        <w:rPr>
          <w:b/>
        </w:rPr>
        <w:t xml:space="preserve">Quelle: </w:t>
      </w:r>
      <w:r>
        <w:t>https://mcp.opencaselaw.ch/entscheid/bger_2C_1129_2014</w:t>
      </w:r>
    </w:p>
    <w:p>
      <w:r>
        <w:t>FR: TF 2C_1129/2014 du 1 avril 2015</w:t>
      </w:r>
    </w:p>
    <w:p>
      <w:r>
        <w:t>IT: TF 2C_1129/2014 del 1 aprile 2015</w:t>
      </w:r>
    </w:p>
    <w:p>
      <w:pPr>
        <w:pStyle w:val="Heading2"/>
      </w:pPr>
      <w:r>
        <w:t>Erwägungen</w:t>
      </w:r>
    </w:p>
    <w:p>
      <w:r>
        <w:rPr>
          <w:b/>
        </w:rPr>
        <w:t>E. 1.1</w:t>
      </w:r>
    </w:p>
    <w:p>
      <w:r>
        <w:t>Selon l' art. 83 let . c ch. 2 LTF, le recours en matière de droit public est irrecevable à l'encontre des décisions en matière de droit des étrangers qui concernent une autorisation à laquelle ni le droit fédéral ni le droit international ne donnent droit. Lorsque la demande tend à ce qu'un enfant puisse vivre en Suisse avec l'un de ses parents seulement (regroupement familial partiel), le droit de l'enfant à séjourner en Suisse dépend du statut du parent concerné (cf. ATF 137 I 284 consid. 1.2 p. 286 s.). En l'occurrence, le père du recourant a été mis au bénéfice d'une autorisation d'établissement le 2 mars 2007, le regroupement familial doit être envisagé sous l'angle de l'art. 43 LEtr (RS 142.20), comme l'a retenu à juste titre le Tribunal cantonal. En vertu de l'art. 43 al. 1 LEtr, le fils du recourant dispose normalement d'un droit à l'octroi d'une autorisation de séjour, étant donné qu'il était âgé de moins de 18 ans lors du dépôt de la demande de regroupement familial. Le motif d'irrecevabilité prévu à l' art. 83 let . c ch. 2 LTF n'est dès lors pas opposable et la voie du recours en matière de droit public est en principe ouverte. La question de la réalisation des conditions pour qu'une telle autorisation puisse être décernée relève du fond et non de la recevabilité (arrêt 2C_270/2009 du 15 janvier 2010 consid. 2.1, non publié in ATF 136 II 78 ).</w:t>
      </w:r>
    </w:p>
    <w:p>
      <w:r>
        <w:rPr>
          <w:b/>
        </w:rPr>
        <w:t>E. 1.2</w:t>
      </w:r>
    </w:p>
    <w:p>
      <w:r>
        <w:t>Pour le surplus, l'arrêt attaqué est une décision finale ( art. 90 LTF ), rendue en dernière instance cantonale par un tribunal supérieur ( art. 86 al. 1 let . d et al. 2 LTF). Le recours en matière de droit public a été déposé en temps utile ( art. 100 al. 1 LTF ). Il convient donc d'entrer en matière.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ce qu'il appartient au recourant de démontrer ( ATF 137 I 58 consid. 4.1.2 p. 62; 137 III 226 consid. 4.2 p. 234; 137 I 58 consid. 4.1.2 p. 62).</w:t>
      </w:r>
    </w:p>
    <w:p>
      <w:r>
        <w:rPr>
          <w:b/>
        </w:rPr>
        <w:t>E. 3.1</w:t>
      </w:r>
    </w:p>
    <w:p>
      <w:r>
        <w:t>Selon l'art. 47 LEtr, le regroupement familial doit être demandé dans les cinq ans. Pour les enfants de plus de 12 ans, le regroupement doit intervenir dans un délai de 12 mois (al. 1). L'art. 47 al. 3 let. a LEtr précise que les délais commencent à courir, pour les membres de la famille d'étrangers, lors de l'octroi de l'autorisation de séjour ou d'établissement ou lors de l'établissement du lien familial. Passé ce délai, le regroupement familial différé n'est autorisé que pour des raisons familiales majeures (art. 47 al. 4 LEtr).</w:t>
      </w:r>
    </w:p>
    <w:p>
      <w:r>
        <w:rPr>
          <w:b/>
        </w:rPr>
        <w:t>E. 3.2</w:t>
      </w:r>
    </w:p>
    <w:p>
      <w:r>
        <w:t>Les raisons familiales majeures au sens de cette disposition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 décès ou maladie de la personne qui en a la charge, ATF 126 II 329 ). C'est l'intérêt de l'enfant et non les intérêts économiques (prise d'une activité lucrative en Suisse) qui priment (Message concernant la loi sur les étrangers, FF 2002 3549). Il ressort notamment du ch. 6 "Regroupement familial" des directives "Domaine des étrangers" de l'Office fédéral des migrations que, dans l'intérêt d'une bonne intégration, il ne sera fait usage de l'art. 47 al. 4 LEtr qu'avec retenue (cf. ch. 6.10.4 p. 14; état au 1er janvier 2011). Le Tribunal fédéral s'est penché sur les conditions applicables au regroupement familial partiel ( ATF 136 II 78 consid. 4.7 p. 85 s.). Il a jugé que le nouveau droit ne permettait plus de justifier l'application des conditions restrictives posées par la jurisprudence en application de l'ancienne loi fédérale sur le séjour et l'établissement des étrangers (aLSEE)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arrêt 2C_1198/2012 précité consid. 4.2).</w:t>
      </w:r>
    </w:p>
    <w:p>
      <w:r>
        <w:t>Selon la jurisprudence rendue sous l'empire de l'aLSEE,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 ATF 130 II 1 consid. 2 p. 3 ss; 124 II 361 consid. 3a p. 366 s.).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 ATF 133 II 6 consid. 3.1.2 p. 11 s.; cf. aussi arrêts 2A.737/2005 du 19 janvier 2007 et 2A.405/2006 du 18 décembre 2006).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 art. 13 Cst. et 8 CEDH).</w:t>
      </w:r>
    </w:p>
    <w:p>
      <w:r>
        <w:rPr>
          <w:b/>
        </w:rPr>
        <w:t>E. 3.3</w:t>
      </w:r>
    </w:p>
    <w:p>
      <w:r>
        <w:t>En l'espèce, il ressort des faits retenus par l'instance précédente que la mère, les grands-parents paternels et maternels, la soeur, le frère, des oncles, des tantes, des cousins et des cousines de B.X.________ habitent en Turquie, que son père, A.X.________, faisaient parvenir de l'argent en Turquie lorsque B.X.________ s'y trouvait encore, soit à ce dernier soit à la mère de celui-ci (arrêt attaqué, consid. 3a). Ces éléments de faits démontrent qu'aucun changement important de circonstances au sens de la jurisprudence rappelée ci-dessus n'a eu lieu dans la vie de B.X.________ au moment où il a décidé de venir rejoindre son père en Suisse.</w:t>
      </w:r>
    </w:p>
    <w:p>
      <w:r>
        <w:t>A cela s'ajoute que B.X.________ a vécu avec sa mère en Turquie jusqu'à l'âge de quinze ans et que la principale raison pour laquelle il a décidé de venir rejoindre son père en Suisse consistait dans les mauvaises relations qu'il entretenait avec sa mère. Toutefois, au vu des déclarations des recourants en procédure cantonale, l'instance précédente a constaté à cet égard que rien ne laissait penser que ces tensions se différenciaient de celles existant fréquemment entre parents et adolescents ni suspecter qu'elles seraient telles qu'elles compromettraient le développement de B.X.________ et les recourants ne démontrent pas, conformément aux exigences accrues de motivation de l' art. 106 al. 2 LTF , que l'instance précédente est tombée dans l'arbitraire en appréciant les preuves de cette manière.</w:t>
      </w:r>
    </w:p>
    <w:p>
      <w:r>
        <w:t>Dans ces conditions et au vu de ces seuls éléments, c'est à bon droit que l'instance précédente a jugé qu'il n'y avait aucune raison familiale majeure qui justifiait le regroupement familial différé. Il n'est par conséquent pas nécessaire d'examiner en détail quant à leur recevabilité ou leur bien-fondé les griefs d'appréciation des preuves formulés par les recourants contre l'arrêt attaqué.</w:t>
      </w:r>
    </w:p>
    <w:p>
      <w:r>
        <w:rPr>
          <w:b/>
        </w:rPr>
        <w:t>E. 3.4</w:t>
      </w:r>
    </w:p>
    <w:p>
      <w:r>
        <w:t>Enfin, les recourants ne peuvent invoquer de manière défendable la durée du séjour de B.X.________ en Suisse pour prétendre à la délivrance d'une autorisation de séjour fondée sur la protection de la vie privée garantie par l' art. 8 CEDH , du moment que ce dernier n'a pu demeurer en Suisse qu'au bénéfice d'une simple tolérance fondée sur les effets suspensifs prononcés successivement par les instances judiciaires cantonales et fédérale.</w:t>
      </w:r>
    </w:p>
    <w:p>
      <w:r>
        <w:rPr>
          <w:b/>
        </w:rPr>
        <w:t>E. 4</w:t>
      </w:r>
    </w:p>
    <w:p>
      <w:r>
        <w:t>Les considérants qui précèdent conduisent au rejet du recours dans la mesure où il est recevable. Succombant, les recourants doivent supporter les frais de justice devant le Tribunal fédéral solidairement entre eux ( art. 66 al. 1 et 5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