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2C_111/2021 vom 26. Juli 2021</w:t>
      </w:r>
    </w:p>
    <w:p>
      <w:r>
        <w:t>Bundesgericht, 2021-07-26, DE</w:t>
      </w:r>
    </w:p>
    <w:p>
      <w:r>
        <w:rPr>
          <w:b/>
        </w:rPr>
        <w:t xml:space="preserve">Quelle: </w:t>
      </w:r>
      <w:r>
        <w:t>https://mcp.opencaselaw.ch/entscheid/bger_2C_111_2021</w:t>
      </w:r>
    </w:p>
    <w:p>
      <w:r>
        <w:t>FR: TF 2C_111/2021 du 26 juillet 2021</w:t>
      </w:r>
    </w:p>
    <w:p>
      <w:r>
        <w:t>IT: TF 2C_111/2021 del 26 luglio 2021</w:t>
      </w:r>
    </w:p>
    <w:p>
      <w:pPr>
        <w:pStyle w:val="Heading2"/>
      </w:pPr>
      <w:r>
        <w:t>Erwägungen</w:t>
      </w:r>
    </w:p>
    <w:p>
      <w:r>
        <w:rPr>
          <w:b/>
        </w:rPr>
        <w:t>E. 1.1</w:t>
      </w:r>
    </w:p>
    <w:p>
      <w:r>
        <w:t>Die Beschwerde in öffentlich-rechtlichen Angelegenheiten gegen das angefochtene Urteil, welches im Verfahren der abstrakten Normenkontrolle eine Beschwerde gegen § 4 der kantonalen V Covid-19 abweist, ist grundsätzlich zulässig ( Art. 82 lit. b, Art. 86 Abs. 1 lit. d und Art. 87 Abs. 2 BGG ). Der Beschwerdeführer wohnt im Kanton Aargau, macht aber glaubhaft geltend, er tätige regelmässig bei seinem Arbeitsweg von U.________ nach V.________ in den Läden des Hauptbahnhofs Zürich seine Einkäufe; er ist daher durch die Maskenpflicht in Einkaufszentren zumindest virtuell berührt und zudem durch das angefochtene Urteil formell beschwert ( Art. 89 Abs. 1 lit. a und b BGG ).</w:t>
      </w:r>
    </w:p>
    <w:p>
      <w:r>
        <w:rPr>
          <w:b/>
        </w:rPr>
        <w:t>E. 1.2</w:t>
      </w:r>
    </w:p>
    <w:p>
      <w:r>
        <w:t>Das schutzwürdige Interesse ( Art. 89 Abs. 1 lit. c BGG )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w:t>
      </w:r>
    </w:p>
    <w:p>
      <w:r>
        <w:rPr>
          <w:b/>
        </w:rPr>
        <w:t>E. 1.3</w:t>
      </w:r>
    </w:p>
    <w:p>
      <w:r>
        <w:t>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einer gewissen Wahrscheinlichkeit wieder stellen werden ( BGE 131 II 670 E. 1.2).</w:t>
      </w:r>
    </w:p>
    <w:p>
      <w:r>
        <w:rPr>
          <w:b/>
        </w:rPr>
        <w:t>E. 1.4</w:t>
      </w:r>
    </w:p>
    <w:p>
      <w:r>
        <w:t>Die Beschwerde an das Bundesgericht muss die Begehren, deren Begründung mit Angabe der Beweismittel und die Unterschrift enthalten. In der Begründung ist in gedrängter Form darzulegen, inwiefern der angefochtene Akt Recht verletzt ( Art. 42 Abs. 1 und 2 BGG ).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m.H.). Sodann prüft das Bundesgericht die Verletzung von Grundrechten und von kantonalem und interkantonalem Recht nur insofern, als eine solche Rüge in der Beschwerde vorgebracht und begründet worden ist ( Art. 106 Abs. 2 BGG ). Es gilt insofern eine gesteigerte Rügepflicht ( BGE 143 II 283 E. 1.2.2 ; 139 I 229 E. 2.2). Enthält ein Rechtsbegehren überhaupt keine hinreichende Begründung, tritt das Bundesgericht darauf nicht ein.</w:t>
      </w:r>
    </w:p>
    <w:p>
      <w:r>
        <w:rPr>
          <w:b/>
        </w:rPr>
        <w:t>E. 1.5</w:t>
      </w:r>
    </w:p>
    <w:p>
      <w:r>
        <w:t>Die Beschwerde vor dem Verwaltungsgericht betraf einzig § 4 der V Covid-19 in der ursprünglichen Fassung, und damit die Maskentragpflicht in Einkaufsläden, Einkaufszentren und Märkten. Diese Bestimmung war bereits im Zeitpunkt des vorinstanzlichen Urteils nicht mehr in Kraft, so dass kein aktuelles Rechtsschutzinteresse besteht. Der Beschwerdeführer ist sich dessen bewusst, macht aber geltend, es sei vom Erfordernis des aktuellen Rechtsschutzinteresses abzusehen: Im vorliegenden dynamischen Regelungsumfeld sei davon auszugehen, dass sich die durch seine Beschwerde aufgeworfenen Rechtsfragen jederzeit wieder unter gleichen oder ähnlichen Umständen erneut stellen könnten; eine rechtzeitige Überprüfung von kurzzeitig befristeten und sich in fortwährender Anpassung befindlichen Normen sei schwer zu bewerkstelligen.</w:t>
      </w:r>
    </w:p>
    <w:p>
      <w:r>
        <w:rPr>
          <w:b/>
        </w:rPr>
        <w:t>E. 1.6</w:t>
      </w:r>
    </w:p>
    <w:p>
      <w:r>
        <w:t>Das mag zutreffen. Indessen fehlt es an der zusätzlichen Voraussetzung, dass die Beantwortung der sich stellenden Fragen wegen deren grundsätzlicher Bedeutung im öffentlichen Interesse liegt: Das Bundesgericht hat nämlich mit Urteil 2C_793/2020 vom vom 8. Juli 2021 eine sinngemäss gleichlautende Bestimmung in einer Verordnung des freiburgischen Staatsrates beurteilt und die dagegen erhobene Beschwerde abgewiesen. Es hat dabei erwogen, die Maskentragpflicht stelle zwar eine leichte Einschränkung der persönlichen Freiheit dar. Diese beruhe aber auf einer hinreichenden gesetzlichen Grundlage ( Art. 40 EpG ), diene einem öffentlichen Interesse und sei angesichts des der Exekutive einzuräumenden Spielraums und aufgrund des aktuell verfügbaren Wissens verhältnismässig: Die Covid-19-Pandemie sei gravierender als die saisonale Grippe-Epidemie; die Entwicklung der Pandemie namentlich ab Herbst 2020 rechtfertige die Maskenpflicht; die Gesichtsmaske schütze zwar nicht hundertprozentig, sei aber geeignet, die Verbreitung des Virus zu begrenzen, auch wenn nicht ausgeschlossen sei, dass eine unsachgemässe Verwendung kontraproduktive Auswirkungen haben könne, weil sie ein falsches Sicherheitsgefühl vermitteln könne. Die Maskentragpflicht sei zudem nicht besonders einschneidend, da sie nur während der Dauer des Aufenthalts in Einkaufsläden bzw. -zentren bestehe. Sie sei milder als denkbare alternative Massnahmen.</w:t>
      </w:r>
    </w:p>
    <w:p>
      <w:r>
        <w:rPr>
          <w:b/>
        </w:rPr>
        <w:t>E. 1.7</w:t>
      </w:r>
    </w:p>
    <w:p>
      <w:r>
        <w:t>Der Beschwerdeführer bringt im Wesentlichen die gleichen Argumente vor wie diejenigen, die das Bundesgericht in jenem Urteil bereits beurteilt hat. Eine andere Beurteilung drängt sich im Lichte der Vorbringen des Beschwerdeführers (vorne E. 1.4) nicht auf. Insbesondere ist seine Argumentation unbehelflich, der Umstand, dass die Fallzahlen nach Einführung der Maskenpflicht stabil geblieben oder zugenommen hätten, beweise die Ungeeignetheit der Maskenpflicht. Denn entscheidend ist die Entwicklung, die ohne die getroffenen Massnahmen eingetreten wäre (vgl. Urteil 2C_941/2020 vom 8. Juli 2021 E. 3.3.4). Auch das vom Beschwerdeführer vorgelegte Urteil des Tribunal de Relacao de Lisboa vom 11. November 2020 und die darin enthaltene Kritik an den PCR-Tests führen nicht zu einem anderen Ergebnis; denn die Vorinstanz rechtfertigt die angefochtene Massnahme nicht nur oder primär mit positiven Testergebnissen, sondern mit Todesfällen und Hospitalisationen.</w:t>
      </w:r>
    </w:p>
    <w:p>
      <w:r>
        <w:rPr>
          <w:b/>
        </w:rPr>
        <w:t>E. 1.8</w:t>
      </w:r>
    </w:p>
    <w:p>
      <w:r>
        <w:t>Die vom Beschwerdeführer erhobene Rüge, zum Erlass der angefochtenen Massnahmen wäre gemäss kantonalem Recht nicht der Regierungsrat, sondern der kantonsärztliche Dienst zuständig gewesen, wirft keine grundsätzliche Frage auf, die ein Eintreten trotz Wegfalls des aktuellen Rechtsschutzinteresses rechtfertigen würde, zumal ohnehin fraglich ist, ob diese Rüge den Anforderungen von Art. 106 Abs. 2 BGG (vorne E. 1.4) entspricht.</w:t>
      </w:r>
    </w:p>
    <w:p>
      <w:r>
        <w:rPr>
          <w:b/>
        </w:rPr>
        <w:t>E. 2</w:t>
      </w:r>
    </w:p>
    <w:p>
      <w:r>
        <w:t>Auf die Beschwerde ist nach dem Gesagten nicht einzutreten. Der unterliegende Beschwerdeführer trägt die 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