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2C_1118/2012 vom 13. November 2012</w:t>
      </w:r>
    </w:p>
    <w:p>
      <w:r>
        <w:t>Bundesgericht, 2012-11-13, FR</w:t>
      </w:r>
    </w:p>
    <w:p>
      <w:r>
        <w:rPr>
          <w:b/>
        </w:rPr>
        <w:t xml:space="preserve">Quelle: </w:t>
      </w:r>
      <w:r>
        <w:t>https://mcp.opencaselaw.ch/entscheid/bger_2C_1118_2012</w:t>
      </w:r>
    </w:p>
    <w:p>
      <w:r>
        <w:t>FR: TF 2C_1118/2012 du 13 novembre 2012</w:t>
      </w:r>
    </w:p>
    <w:p>
      <w:r>
        <w:t>IT: TF 2C_1118/2012 del 13 novembre 2012</w:t>
      </w:r>
    </w:p>
    <w:p>
      <w:pPr>
        <w:pStyle w:val="Heading2"/>
      </w:pPr>
      <w:r>
        <w:t>Erwägungen</w:t>
      </w:r>
    </w:p>
    <w:p>
      <w:r>
        <w:rPr>
          <w:b/>
        </w:rPr>
        <w:t>E. 1</w:t>
      </w:r>
    </w:p>
    <w:p>
      <w:r>
        <w:t>Par arrêt du 28 septembre 2012, le Tribunal cantonal du canton de Vaud a rejeté le recours de X.________ Sàrl contre la décision du Service de l'emploi du 30 avril 2012 refusant d'octroyer une autorisation de séjour avec activité lucrative en faveur de Y.________, ressortissant roumain, pour une activité de mécanicien.</w:t>
      </w:r>
    </w:p>
    <w:p>
      <w:r>
        <w:rPr>
          <w:b/>
        </w:rPr>
        <w:t>E. 2</w:t>
      </w:r>
    </w:p>
    <w:p>
      <w:r>
        <w:t>Par courrier du 29 octobre 2012, X.________ Sàrl demande au Tribunal fédéral de réétudier la demande d'autorisation de travail en cause.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w:t>
      </w:r>
    </w:p>
    <w:p>
      <w:r>
        <w:t>En l'espèce, le courrier rédigé par X.________ Sàrl à l'attention du Tribunal fédéral n'expose pas de manière suffisante eu égard aux exigences de l' art. 42 al. 2 LTF en quoi l'arrêt du 28 septembre 2012 et les motifs qu'il retient à l'appui du refus de délivrer une autorisation de séjour pour activité lucrative violent le droit fédéral.</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