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2C_1110/2013 vom 17. April 2014</w:t>
      </w:r>
    </w:p>
    <w:p>
      <w:r>
        <w:t>Bundesgericht, 2014-04-17, FR</w:t>
      </w:r>
    </w:p>
    <w:p>
      <w:r>
        <w:rPr>
          <w:b/>
        </w:rPr>
        <w:t xml:space="preserve">Quelle: </w:t>
      </w:r>
      <w:r>
        <w:t>https://mcp.opencaselaw.ch/entscheid/bger_2C_1110_2013</w:t>
      </w:r>
    </w:p>
    <w:p>
      <w:r>
        <w:t>FR: TF 2C_1110/2013 du 17 avril 2014</w:t>
      </w:r>
    </w:p>
    <w:p>
      <w:r>
        <w:t>IT: TF 2C_1110/2013 del 17 aprile 2014</w:t>
      </w:r>
    </w:p>
    <w:p>
      <w:pPr>
        <w:pStyle w:val="Heading2"/>
      </w:pPr>
      <w:r>
        <w:t>Erwägungen</w:t>
      </w:r>
    </w:p>
    <w:p>
      <w:r>
        <w:rPr>
          <w:b/>
        </w:rPr>
        <w:t>E. 1</w:t>
      </w:r>
    </w:p>
    <w:p>
      <w:r>
        <w:t>Le Tribunal fédéral examine d'office sa compétence ( art. 29 al. 1 LTF ). Il contrôle donc librement la recevabilité des recours qui lui sont soumis ( ATF 136 I 42 consid. 1 p. 43; 136 II 101 consid. 1 p. 103).</w:t>
      </w:r>
    </w:p>
    <w:p>
      <w:r>
        <w:rPr>
          <w:b/>
        </w:rPr>
        <w:t>E. 1.1</w:t>
      </w:r>
    </w:p>
    <w:p>
      <w:r>
        <w:t>Le recours est dirigé contre un jugement final (cf. art. 90 LTF ) rendu dans une cause de droit public (cf. art. 82 let. a LTF ) par un tribunal cantonal supérieur (cf. art. 86 al. 1 let . d et al. 2 LTF).</w:t>
      </w:r>
    </w:p>
    <w:p>
      <w:r>
        <w:rPr>
          <w:b/>
        </w:rPr>
        <w:t>E. 1.2</w:t>
      </w:r>
    </w:p>
    <w:p>
      <w:r>
        <w:t>En vertu de l'art. 14 al. 2 de l'ordonnance fédérale du 17 novembre 1999 sur l'organisation du Département fédéral de justice et police (Org DFJP; RS 172.213.1), l'Office fédéral a qualité pour recourir devant le Tribunal fédéral (cf. art. 89 al. 2 let. a LTF ), dans le domaine du droit des étrangers, contre des décisions cantonales de dernière instance ( ATF 134 II 45 consid. 2.1 p. 46; arrêt 2C_234/2010 du 11 juillet 2011 consid. 1.1).</w:t>
      </w:r>
    </w:p>
    <w:p>
      <w:r>
        <w:rPr>
          <w:b/>
        </w:rPr>
        <w:t>E. 1.3</w:t>
      </w:r>
    </w:p>
    <w:p>
      <w:r>
        <w:t>En sa qualité de ressortissant portugais, l'intimé peut prétendre à un titre de séjour en Suisse, en vertu de l'ALCP ( ATF 136 II 177 consid. 1.1 p. 179; 129 II 249 consid. 4 p. 258 ss). La présente cause ne tombe ainsi pas sous le coup de l' art. 83 let . c ch. 2 LTF, ni d'aucune autre clause d'irrecevabilité figurant à l' art. 83 LTF . Partant, la voie du recours en matière de droit public est ouverte.</w:t>
      </w:r>
    </w:p>
    <w:p>
      <w:r>
        <w:rPr>
          <w:b/>
        </w:rPr>
        <w:t>E. 2</w:t>
      </w:r>
    </w:p>
    <w:p>
      <w:r>
        <w:t>Aux termes de l' art. 97 al. 1 LTF , le recours ne peut critiquer les constatations de fait que si les faits ont été établis de façon manifestement inexacte ou en violation du droit au sens de l'art. 95, et si la correction du vice est susceptible d'influer sur le sort de la cause, ce que le recourant doit démontrer conformément aux exigences de motivation des art. 42 al. 2 et 106 al. 2 LTF ( ATF 136 II 101 consid. 3 p. 104), faute de quoi il n'est pas possible de tenir compte d'un état de fait divergeant de celui qui est contenu dans l'acte attaqué.</w:t>
      </w:r>
    </w:p>
    <w:p>
      <w:r>
        <w:t>En l'occurrence, dans la mesure où la version des faits que le recourant donne dans son mémoire s'écarte et complète les faits constatés dans l'arrêt attaqué, sans qu'il soit indiqué que ceux-ci seraient manifestement inexacts ou arbitraires, elle est irrecevable.</w:t>
      </w:r>
    </w:p>
    <w:p>
      <w:r>
        <w:rPr>
          <w:b/>
        </w:rPr>
        <w:t>E. 3.1</w:t>
      </w:r>
    </w:p>
    <w:p>
      <w:r>
        <w:t>Aux termes de son art. 2 al. 2, la LEtr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3.2</w:t>
      </w:r>
    </w:p>
    <w:p>
      <w:r>
        <w:t>Il ressort des faits retenus par l'instance précédente que l'intimé était au bénéfice d'une autorisation de séjour UE/AELE valable jusqu'au 30 septembre 2012. Compte tenu de son arrestation le 13 juillet 2010 en Allemagne et de son retour en Suisse le 26 septembre 2012, l'intimé était manifestement absent de Suisse durant plus de six mois. Or, à teneur de l'art. 61 al. 2 LEtr, si un étranger quitte la Suisse sans déclarer son départ, l'autorisation de courte durée prend automatiquement fin après trois mois, l'autorisation de séjour ou d'établissement après six mois. Ainsi, et comme l'a également retenu le Service de la population, l'intimé n'était plus titulaire d'aucune autorisation de séjour lors de son retour en Suisse. Il convient à ce propos de mentionner que l' art. 6 al. 5 annexe I ALCP , selon lequel les interruptions de séjour ne dépassant pas six mois consécutifs ainsi que les absences motivées par l'accomplissement d'obligations militaires n'affectent pas la validité du titre de séjour, prévoit, pour la présente cause, une réglementation semblable à celle de la LEtr, raison pour laquelle c'est cette dernière qui trouve application (cf. consid. 3.1 supra; Gächter/Tremp, in Bundesgesetz über die Ausländerinnen und Ausländer [AuG], 2010, n° 15 ad art. 2 LEtr). Compte tenu de ce qui précède, la présente procédure porte donc exclusivement sur l'octroi d'une autorisation de séjour, et non pas sur un renouvellement ou une révocation.</w:t>
      </w:r>
    </w:p>
    <w:p>
      <w:r>
        <w:t>Les faits retenus par l'autorité précédente ne permettent pas de déterminer si, à son retour d'Allemagne, l'intimé a requis l'octroi d'une autorisation de séjour en tant que travailleur salarié, indépendant, comme personne n'exerçant pas une activité économique ou au titre du regroupement familial (la décision du Service de la population faisant état de " refus d'octroi d'une quelconque autorisation de séjour "). Néanmoins, quel que soit le type d'autorisation de séjour sollicité, il faut constater que l'ALCP contient des dispositions plus favorables que la LEtr, notamment en raison du fait que l'intimé peut prétendre à une autorisation de séjour UE/AELE, que celle-ci est octroyée au moins pour une durée de cinq ans (cf. art. 6 al. 1, 12 al. 1 et 24 al. 1 annexe I ALCP) et que les possibilités de révocation sont plus limitées (cf. consid. 3.3 ci-dessous). Ce sont dès lors exclusivement les dispositions de l'Accord sur la libre circulation des personnes qui s'appliquent (cf. consid. 3.1 ci-dessus).</w:t>
      </w:r>
    </w:p>
    <w:p>
      <w:r>
        <w:rPr>
          <w:b/>
        </w:rPr>
        <w:t>E. 3.3</w:t>
      </w:r>
    </w:p>
    <w:p>
      <w:r>
        <w:t>Comme l'ensemble des droits octroyés par l'ALCP, le droit de séjourner en Suisse ne peut être limité que par des mesures d'ordre ou de sécurité publics, au sens de l' art. 5 al. 1 annexe I ALCP , dont le cadre et les modalités sont définis en particulier par la directive 64/221/CEE, ainsi que par la jurisprudence y relative de la Cour de justice des Communautés européennes, devenue la Cour de justice de l'Union européenne (ci-après: la Cour de Justice), rendue avant la signature de l'Accord le 21 juin 1999 (cf. art. 5 al. 2 annexe I ALCP en relation avec l' art. 16 al. 2 ALCP ; au sujet de la prise en considération des arrêts de la Cour de Justice postérieurs à cette date, cf. ATF 139 II 121 consid. 5.3 p. 125 s. et les références citées).</w:t>
      </w:r>
    </w:p>
    <w:p>
      <w:r>
        <w:t>Conformément à la jurisprudence rendue en rapport avec l' art. 5 annexe I ALCP ,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(cf. 139 II 121 consid. 5.3 p. 125 s. et les références citées), étant précisé que la commission d'infractions qui sont en étroite relation avec la toxicomanie du délinquant peuvent, selon les circonstances, atténuer cette position de principe (139 II 121 consid. 5.3 p. 125 s. et les références citées).</w:t>
      </w:r>
    </w:p>
    <w:p>
      <w:r>
        <w:rPr>
          <w:b/>
        </w:rPr>
        <w:t>E. 4.1</w:t>
      </w:r>
    </w:p>
    <w:p>
      <w:r>
        <w:t>En l'espèce, l'intimé a été condamné, en 2011 en Allemagne, à une peine privative de liberté de trois ans et neuf mois portant sur un trafic de stupéfiants. Celui-ci avait tenté, en juillet 2010, d'importer vers la Suisse une quantité totale de 252 grammes de cocaïne et de 1'819 pilules d'ecstasy. L'intimé a également été condamné, en 2012 en Suisse, pour une violation grave des règles de la circulation routière à 25 jours-amende avec sursis pour avoir roulé à 87 km/h dans une zone limitée à 50 km/h, le 29 septembre 2012. L'intimé n'a fait l'objet d'aucune autre condamnation pénale.</w:t>
      </w:r>
    </w:p>
    <w:p>
      <w:r>
        <w:rPr>
          <w:b/>
        </w:rPr>
        <w:t>E. 4.2</w:t>
      </w:r>
    </w:p>
    <w:p>
      <w:r>
        <w:t>Il faut d'emblée relever que l'infraction pour laquelle l'intimé a été condamné en Allemagne doit être considérée, du point de vue du droit suisse, comme un cas grave au sens de l' art. 19 al. 2 LStup , puisque 18 grammes de cocaïne pure suffisent déjà à cela ( ATF 122 IV 360 consid. 2a p. 363; 109 IV 143 consid. 3b p. 144 s.; arrêt 6B_579/2013 du 20 février 2014 consid. 3.4; cf. également Peter Albrecht, Die Strafbestimmungen des Betäubungsmittelgesetzes [Art. 19-28 BetmG], 2007, n° 213 ad art. 19 LStup ). Par ailleurs, même si en comparaison elle peut paraître moins importante, l'infraction à la LCR doit aussi être qualifiée de grave. En effet, selon la jurisprudence, le cas est objectivement grave, c'est-à-dire sans égard aux circonstances concrètes, lorsque la vitesse autorisée est dépassée de 25 km/h ou plus à l'intérieur des localités ( ATF 132 II 234 consid. 3.2 p. 238 s.). En dépassant de 37 km/h la vitesse autorisée dans une zone limité à 50 km/h, l'intimé a donc gravement violé les règles de la circulation routière et mis en danger sa vie et celle des autres usagers de la route.</w:t>
      </w:r>
    </w:p>
    <w:p>
      <w:r>
        <w:rPr>
          <w:b/>
        </w:rPr>
        <w:t>E. 4.3</w:t>
      </w:r>
    </w:p>
    <w:p>
      <w:r>
        <w:t>La peine infligée en Allemagne à l'intimé est d'une gravité telle qu'elle aurait dû revêtir, aux yeux de celui-ci, un réel avertissement et l'inciter à ne pas persister dans la commission d'infractions. Or, il n'en a tiré aucune leçon puisque, trois jours après son retour en Suisse, l'intimé a commis une nouvelle infraction grave, cette fois à la LCR. Il faut ainsi reconnaître qu'il fait preuve d'une propension certaine à transgresser la loi en même temps qu'une incapacité à s'amender. Il n'est donc pas possible, comme l'a fait le Tribunal cantonal, d'affirmer que depuis sa condamnation en Allemagne, l'intimé semble avoir compris la gravité de ses actes. Le fait qu'il ait prétendument cessé toute consommation de cocaïne n'est ici pas déterminant au vu des infractions commises.</w:t>
      </w:r>
    </w:p>
    <w:p>
      <w:r>
        <w:t>L'attitude désinvolte de l'intimé vis-à-vis du respect de l'ordre public est encore confirmée par les fausses déclarations effectuées lors de son retour en Suisse. Les explications de l'intimé sur ce point, c'est-à-dire son manque d'attention, sa méconnaissance du français et le fait que l'autorité ait été au courant de sa condamnation en Allemagne, ne convainquent pas.</w:t>
      </w:r>
    </w:p>
    <w:p>
      <w:r>
        <w:rPr>
          <w:b/>
        </w:rPr>
        <w:t>E. 4.4</w:t>
      </w:r>
    </w:p>
    <w:p>
      <w:r>
        <w:t>Au regard de l'ensemble de ces circonstances, comme le relève à juste titre l'Office fédéral, l'arrêt querellé consacre une appréciation contraire à la pratique relative à l' art. 5 al. 1 annexe I ALCP du risque actuel pour l'ordre public suisse que représente l'intimé. Compte tenu de la gravité de l'infraction commise et de la nouvelle infraction perpétrée dès sa libération, l'intimé tombe sous le coup de l' art. 5 al. 1 annexe I ALCP .</w:t>
      </w:r>
    </w:p>
    <w:p>
      <w:r>
        <w:rPr>
          <w:b/>
        </w:rPr>
        <w:t>E. 5</w:t>
      </w:r>
    </w:p>
    <w:p>
      <w:r>
        <w:t>L'Office fédéral fait valoir en outre que le refus d'autorisation de séjour respecte les conditions de l' art. 8 par. 2 CEDH , contrairement à ce qu'a jugé l'instance précédente.</w:t>
      </w:r>
    </w:p>
    <w:p>
      <w:r>
        <w:rPr>
          <w:b/>
        </w:rPr>
        <w:t>E. 5.1</w:t>
      </w:r>
    </w:p>
    <w:p>
      <w:r>
        <w:t>L' art. 8 par. 1 CEDH dispose que toute personne a droit au respect de sa vie privée et familiale, de son domicile et de sa correspondance. Le droit au respect de la vie privée et familiale garanti par cette disposition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fondé sur l' art. 8 par. 2 CEDH suppose une pesée des intérêts en présence et l'examen de la proportionnalité de la mesure (cf. ATF 139 I 145 consid. 2.2 p. 147 s.; 135 II 377 consid. 4.3 p. 381).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 et celui de sa famille - à pouvoir rester en Suisse (cf. ATF 139 I 145 consid. 2.3 p. 148 s.; 135 II 377 consid. 4.3 et 4.4 p. 381 s.; 130 II 176 consid. 4.1 p. 185).</w:t>
      </w:r>
    </w:p>
    <w:p>
      <w:r>
        <w:rPr>
          <w:b/>
        </w:rPr>
        <w:t>E. 5.2</w:t>
      </w:r>
    </w:p>
    <w:p>
      <w:r>
        <w:t>En l'occurrence, l'intimé a été condamné à une lourde peine de trois ans et neuf mois qui excède la limite de deux ans sous l'angle de l' art. 8 par. 2 CEDH consacrée par la pratique. De plus, même qu'il savait que son statut en Suisse serait discuté à son retour d'Allemagne, l'intimé n'a pas hésité à enfreindre à nouveau la loi. Dès lors, le risque de récidive, quoi qu'en dise l'intimé, est bien réel. Son incapacité à respecter les règles le démontre (cf. consid. 4.4 ci-dessus). Il existe ainsi un intérêt public à son éloignement.</w:t>
      </w:r>
    </w:p>
    <w:p>
      <w:r>
        <w:t>Par conséquent, seules des circonstances exceptionnelles permettraient de faire pencher la balance des intérêts en faveur de l'octroi d'une autorisation de séjour à l'intimé.</w:t>
      </w:r>
    </w:p>
    <w:p>
      <w:r>
        <w:rPr>
          <w:b/>
        </w:rPr>
        <w:t>E. 5.3</w:t>
      </w:r>
    </w:p>
    <w:p>
      <w:r>
        <w:t>Sous cet angle, force est de constater que l'intimé a passé une très grande partie de sa vie dans son pays d'origine, n'est arrivé en Suisse qu'en 2007 et que depuis lors, il a passé deux ans en détention en Allemagne. Cela signifie qu'il n'a guère vécu plus de quatre ans en Suisse et qu'un retour au Portugal n'est, de ce point de vue, pas insurmontable. De plus, sa langue maternelle est le portugais et d'autres membres de sa famille, soit en l'occurrence ses enfants majeurs, se trouvent dans son pays d'origine. A cela s'ajoute que l'intégration socio-professionnelle de l'intimé en Suisse ne semble pas particulièrement poussée, de sorte qu'il ne perdrait aucun acquis professionnel particulier, ni aucun statut social qu'il aurait réussi à construire depuis son arrivée en Suisse en cas de retour au Portugal. Les activités invoquées, qu'elles soient professionnelles ou sociales, ne suffisent pas à retenir le contraire.</w:t>
      </w:r>
    </w:p>
    <w:p>
      <w:r>
        <w:t>S'agissant finalement des autres membres de sa famille vivant avec lui, c'est-à-dire sa femme et trois de ses enfants, tous de nationalité portugaise, ils ont le choix de rester en Suisse ou de suivre l'intimé au Portugal. Dans la première hypothèse, au vu de leur situation stable, notamment de l'activité professionnelle de la femme de l'intimé, ils pourraient continuer leurs activités respectives et rester autonomes. Ils auraient également la possibilité de rencontrer régulièrement l'intimé, que ce soit lors de séjours au Portugal, ou des visites de celui-ci en Suisse. D'un autre côté, un retour au Portugal, leur pays d'origine, ne serait pas inexigible (cf. arrêt de la CourEDH</w:t>
      </w:r>
    </w:p>
    <w:p>
      <w:r>
        <w:t>Palanci c. Suisse du 25 mars 2014 § 61). Ils pourraient s'acclimater rapidement à la nouvelle situation, dès lors que tous les membres de la famille maîtrisent le portugais et séjourneraient dans l'Etat dans lequel ils ont vécu jusqu'en 2007. De plus, ils y retrouveraient le reste de leur famille.</w:t>
      </w:r>
    </w:p>
    <w:p>
      <w:r>
        <w:rPr>
          <w:b/>
        </w:rPr>
        <w:t>E. 5.4</w:t>
      </w:r>
    </w:p>
    <w:p>
      <w:r>
        <w:t>Ainsi, dans l'appréciation globale des circonstances du cas, l'intérêt public à l'éloignement de l'intimé l'emporte sur son intérêt privé à rester en Suisse. Sous l'angle de la proportionnalité également, l'arrêt attaqué ne peut être suivi.</w:t>
      </w:r>
    </w:p>
    <w:p>
      <w:r>
        <w:rPr>
          <w:b/>
        </w:rPr>
        <w:t>E. 6</w:t>
      </w:r>
    </w:p>
    <w:p>
      <w:r>
        <w:t>Sur le vu de ce qui précède, le recours doit être admis dans la mesure où il est recevable et l'arrêt attaqué annulé. La décision du Service de la population du 21 janvier 2013 est confirmée. Succombant, l'intimé doit supporter les frais judiciaires ( art. 66 al. 1 LTF ). Aucuns dépens ne sera alloué ( art. 68 al. 1 et 3 LTF ). La cause sera en outre renvoyée au Tribunal cantonal pour nouvelle décision sur les frais et dépens de la procédure antérieure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