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1106/2012 vom 1. Oktober 2013</w:t>
      </w:r>
    </w:p>
    <w:p>
      <w:r>
        <w:t>Bundesgericht, 2013-10-01, DE</w:t>
      </w:r>
    </w:p>
    <w:p>
      <w:r>
        <w:rPr>
          <w:b/>
        </w:rPr>
        <w:t xml:space="preserve">Quelle: </w:t>
      </w:r>
      <w:r>
        <w:t>https://mcp.opencaselaw.ch/entscheid/bger_2C_1106_2012</w:t>
      </w:r>
    </w:p>
    <w:p>
      <w:r>
        <w:t>FR: TF 2C 1106/2012 du 1 octobre 2013</w:t>
      </w:r>
    </w:p>
    <w:p>
      <w:r>
        <w:t>IT: TF 2C 1106/2012 del 1 ottobre 2013</w:t>
      </w:r>
    </w:p>
    <w:p>
      <w:pPr>
        <w:pStyle w:val="Heading2"/>
      </w:pPr>
      <w:r>
        <w:t>Regeste</w:t>
      </w:r>
    </w:p>
    <w:p>
      <w:r>
        <w:t>Gemeinderecht (neue Landverordnung) | Politische Rechte</w:t>
      </w:r>
    </w:p>
    <w:p>
      <w:pPr>
        <w:pStyle w:val="Heading2"/>
      </w:pPr>
      <w:r>
        <w:t>Erwägungen</w:t>
      </w:r>
    </w:p>
    <w:p>
      <w:r>
        <w:rPr>
          <w:b/>
        </w:rPr>
        <w:t>E. 1.1</w:t>
      </w:r>
    </w:p>
    <w:p>
      <w:r>
        <w:t>Die Beschwerdeführer fechten drei Bestimmungen eines kommunalen Erlasses an. Nach Art. 82 lit. b BGG ist gegen kantonale und damit auch gegen kommunale Erlasse die Beschwerde in öffentlich-rechtlichen Angelegenheiten zulässig. Die Ausnahmen gemäss Art. 83 BGG finden bei Beschwerden gegen Erlasse (abstrakte Normenkontrolle) keine Anwendung ( BGE 138 I 435 E. 1.2 S. 440). Die Beschwerde gegen einen Erlass ist gemäss Art. 101 BGG innert 30 Tagen nach der gemäss kantonalem Recht massgebenden Veröffentlichung des Erlasses beim Bundesgericht einzureichen. Kennt das kantonale Recht - wie hier - ein Verfahren der abstrakten Normenkontrolle, ist zunächst dieses zu durchlaufen (vgl. Art. 87 Abs. 2 in Verbindung mit Art. 86 Abs. 1 lit. d BGG ; BGE 138 I 435 E. 1.3.1 S. 440). Das ist vorliegend geschehen. Die 30-tägige Frist ( Art. 100 Abs. 1 BGG ) zur Beschwerde an das Bundesgericht beginnt alsdann erst mit der Eröffnung des letztinstanzlichen kantonalen Normenkontrollentscheids ( BGE 128 I 158 E. 1.1 S. 158). Die Beschwerdeführer haben diese Frist mit ihrer Eingabe vom 5. November 2012 eingehalten, da ihnen der angefochtene Entscheid des Verwaltungsgerichts am 5. Oktober 2012 zugestellt wurde.</w:t>
      </w:r>
    </w:p>
    <w:p>
      <w:r>
        <w:rPr>
          <w:b/>
        </w:rPr>
        <w:t>E. 1.2</w:t>
      </w:r>
    </w:p>
    <w:p>
      <w:r>
        <w:t>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Alle Beschwerdeführer sind Pächter von landwirtschaftlichen Nutzflächen der Korporation Oberägeri und aufgrund ihres Alters durch die angefochtenen Bestimmungen der neuen Landverordnung unmittelbar betroffen, zumal diese Normen eine Verkürzung der möglichen Pachtdauer zur Folge haben. Die Beschwerdeführer sind daher zur Führung der Beschwerde in öffentlich-rechtlichen Angelegenheiten gegen die angefochtenen Bestimmungen der neuen Landverordnung legitimiert. Insoweit ist auf das von ihnen eingereichte Rechtsmittel grundsätzlich einzutreten.</w:t>
      </w:r>
    </w:p>
    <w:p>
      <w:r>
        <w:rPr>
          <w:b/>
        </w:rPr>
        <w:t>E. 1.3</w:t>
      </w:r>
    </w:p>
    <w:p>
      <w:r>
        <w:t>Nicht eingetreten werden kann auf die Beschwerde dagegen insoweit, als sie sich auch gegen den Beschluss der Korporationsgemeindeversammlung vom 23. April 2010 und damit gegen eine Volksabstimmung i.S.v. Art. 82 lit. c BGG richtet: Gemäss § 17 bis des Gesetzes des Kantons Zug vom 4. September 1980 über die Organisation und die Verwaltung der Gemeinden (Gemeindegesetz; BGS 171.1) i.V.m. § 67 Abs. 1 und Abs. 2 des Gesetzes des Kantons Zug vom 28. September 2006 über die Wahlen und Abstimmungen (Wahl- und Abstimmungsgesetz, WAG; BGS 131.1) sind Beschwerden wegen Verletzung des Stimmrechts oder Unregelmässigkeiten bei der Vorbereitung und Durchführung von Wahlen und Abstimmungen innert drei Tagen seit der Entdeckung des Beschwerdegrundes, spätestens jedoch am dritten Tage nach der amtlichen Veröffentlichung der Ergebnisse im Amtsblatt, beim Regierungsrat einzureichen. Dies ist hier unbestrittenermassen nicht erfolgt; vielmehr räumen die Beschwerdeführer in ihrer Eingabe vom 15. Januar 2013 selbst ein, dass sie den von ihnen geltend gemachten Mangel erst lange nach der Veröffentlichung des Beschlusses der Korporationsgemeindeversammlung entdeckt hätten. Somit fehlt es im vorliegenden Fall an der Ausschöpfung des kantonalen Instanzenzugs ( Art. 88 Abs. 1 lit. a BGG ).</w:t>
      </w:r>
    </w:p>
    <w:p>
      <w:r>
        <w:rPr>
          <w:b/>
        </w:rPr>
        <w:t>E. 2</w:t>
      </w:r>
    </w:p>
    <w:p>
      <w:r>
        <w:t>Die Vereinbarung einer kürzeren Pachtdauer ist nur gültig, wenn die Behörde sie bewilligt hat. Das Gesuch ist spätestens drei Monate nach dem Antritt der Pacht einzureichen.</w:t>
      </w:r>
    </w:p>
    <w:p>
      <w:r>
        <w:rPr>
          <w:b/>
        </w:rPr>
        <w:t>E. 2.1</w:t>
      </w:r>
    </w:p>
    <w:p>
      <w:r>
        <w:t>Nebst der Erhebung von Verfassungsrügen behaupten die Beschwerdeführer, die angefochtenen Bestimmungen der neuen Landverordnung verletzten die Art. 7 und 8 des Bundesgesetzes vom 4. Oktober 1985 über die landwirtschaftliche Pacht (LPG; SR 221.213.2) . Diese lauten wie folgt: "Art. 7 Erstmalige Verpachtung 1 Die erste Pachtdauer beträgt für landwirtschaftliche Gewerbe mindestens neun Jahre und für einzelne Grundstücke mindestens sechs Jahre.</w:t>
      </w:r>
    </w:p>
    <w:p>
      <w:r>
        <w:rPr>
          <w:b/>
        </w:rPr>
        <w:t>E. 2.2</w:t>
      </w:r>
    </w:p>
    <w:p>
      <w:r>
        <w:t>Die Rüge erweist sich als begründet: Zwar ist es durchaus denkbar, dass die zuständige kantonale Bewilligungsbehörde im Alter eines Pächters einen sachlichen Grund für eine Verkürzung der Pachtdauer erkennen und deshalb im Einzelfall einer reduzierten Laufzeit des Vertrags zustimmen kann (Erhaltung einer funktionierenden Landwirtschaft, Entgegenwirken von verzögerten Hofübergaben, Förderung des Strukturwandels im Generationenwechsel; vgl. E. 8b des angefochtenen Entscheids). Ebenso ist es nachvollziehbar, dass die Korporation Oberägeri als Eigentümerin der verpachteten Nutzflächen daran interessiert ist, leistungsfähige Landwirte als Pächter zu haben, welche durch den Bezug von Direktzahlungen ihren Betrieb auf eine besonders stabile finanzielle Grundlage stellen können, was nur bis zum 65. Altersjahr möglich ist (Art. 19 Abs. 1 der Verordnung vom 7. Dezember 1998 über die Direktzahlungen an die Landwirtschaft [Direktzahlungsverordnung, DZV; SR 910.13]). Jedoch lässt sich die von der Korporation Oberägeri getroffene Regelung in dieser generell-abstrakten Form nicht mit den bundesrechtlichen Bestimmungen in Art. 7 und Art. 8 LPG vereinbaren: Indem die §§ 8 al. 5 und 11 al. 3 der neuen Landverordnung die Beendigung des Pachtverhältnisses mit Erreichen des AHV-Alters vorsehen, greifen sie vielmehr in die Regelungskompetenz des Bundes ein, soweit auf diese Weise die Pachtdauer auf weniger als das vorgesehene Minimum von sechs Jahren verkürzt wird. Dies ist dann der Fall, wenn der betreffende Pächter weniger als sechs Jahre vor dem Erreichen des AHV-Alters steht: In diesen Konstellationen hätten die genannten Bestimmungen zur Folge, dass die Regelung des Bundesrechts durch niederrangigeres Recht derogiert würde, was gegen Art. 49 Abs. 1 BV verstösst, wonach das Bundesrecht dem entgegenstehenden kantonalen Recht vorgeht. Soweit die Pachtverträge privat- und nicht verwaltungsrechtlicher Natur wären, was von der Vorinstanz offen gelassen wurde, erschiene eine durch die Landverordnung vorgesehene automatische Beendigung des Pachtvertrages mit Erreichen des Rentenalters ohnehin als unzulässig, zumal diesfalls in die Regelung des Bundeszivilrechts eingegriffen würde. Aus den genannten Gründen sind die §§ 8 al. 5 und 11 al. 3 der neuen Landverordnung der Korporation Oberägeri aufzuheben. Bei diesem Ergebnis bleibt § 12 al. 3 lit. j der neuen Landverordnung - soweit hier interessierend - ohne eigenständige Relevanz, weshalb sich eine Aufhebung dieser letzteren Bestimmung nicht als erforderlich erweist. Es steht der Korporation Oberägeri ausdrücklich offen, die aufzuhebenden §§ 8 al. 5 und 11 al. 3 der neuen Landverordnung durch eine andere Regelung zu ersetzen, soweit dadurch kein Konflikt mit dem Bundesrecht geschaffen wird.</w:t>
      </w:r>
    </w:p>
    <w:p>
      <w:r>
        <w:rPr>
          <w:b/>
        </w:rPr>
        <w:t>E. 2.3</w:t>
      </w:r>
    </w:p>
    <w:p>
      <w:r>
        <w:t>Als öffentlich-rechtliche Körperschaft ist die Korporationsgemeinde Oberägeri auch bei der Verwaltung ihres Vermögens zur Einhaltung der Grundrechte - namentlich des Rechtsgleichheitsgebotes - verpflichtet. Dies vorbehalten, besteht kein genereller Rechtsanspruch der Beschwerdeführer auf eine Vertragserneuerung, sondern steht es der Korporationsgemeinde in ihrer Eigenschaft als Grundeigentümerin grundsätzlich frei, zu entscheiden, mit welchen Pächtern sie die befristeten und inzwischen ausgelaufenen Pachtverträge überhaupt erneuern möchte: Selbst wenn man für die Zeit während der Vertragsdauer vom Bestehen von wohlerworbenen Rechten und einem entsprechend schützenswerten Vertrauen der Beschwerdeführer ausgehen wollte, erhellt ohne Weiteres, dass allfällige rechtsbeständige Bindungen spätestens mit Vertragsablauf endeten. Es liegt in der Natur von befristeten Vereinbarungen, dass sich die Parteien eben nur für eine gewisse Zeit fest binden möchten und gerade keine Rechtswirkungen über die Vertragsdauer hinaus begründet werden. Aus dem Umstand, dass die früheren Landverordnungen keine Alterslimite für den Erhalt von Pachtland vorsahen, durfte nicht geschlossen werden, dass dies auf ewige Zeit so bleiben wird: Indem die Korporationsgemeinde bei bevorstehendem Ablauf der Pachtverträge jeweils eine Neufassung der Landverordnung sowie gegebenenfalls eine Neuverteilung der Pachtgrundstücke vorgenommen hat (sog. "Summ"), hielt und hält sie sich die Möglichkeit offen, auf gesellschaftliche oder rechtliche Veränderungen flexibel zu reagieren und hierfür allenfalls auch die Regeln bezüglich der Pachtlandvergabe zu ändern.</w:t>
      </w:r>
    </w:p>
    <w:p>
      <w:r>
        <w:rPr>
          <w:b/>
        </w:rPr>
        <w:t>E. 3</w:t>
      </w:r>
    </w:p>
    <w:p>
      <w:r>
        <w:t>Nach dem Ausgeführten ist die Beschwerde gutzuheissen, soweit darauf eingetreten werden kann. Das angefochtene Urteil des Verwaltungsgerichts des Kantons Zug und die §§ 8 al. 5 und 11 al. 3 der neuen Landverordnung der Korporation Oberägeri sind aufzuheben. Bei diesem Ausgang des Verfahrens sind keine Gerichtskosten zu erheben ( Art. 66 Abs. 4 BGG ). Der Kanton Zug hat den Beschwerdeführern für das bundesgerichtliche Verfahren eine Parteientschädigung zu entrichten ( Art. 68 Abs. 1 BGG ). Für die Neuregelung der Kosten- und Entschädigungsfolgen des kantonalen Verfahrens wird die Angelegenheit an das Verwaltungsgericht des Kantons Zug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