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2C_1102/2015 vom 29. März 2017</w:t>
      </w:r>
    </w:p>
    <w:p>
      <w:r>
        <w:t>Bundesgericht, 2017-03-29, FR</w:t>
      </w:r>
    </w:p>
    <w:p>
      <w:r>
        <w:rPr>
          <w:b/>
        </w:rPr>
        <w:t xml:space="preserve">Quelle: </w:t>
      </w:r>
      <w:r>
        <w:t>https://mcp.opencaselaw.ch/entscheid/bger_2C_1102_2015</w:t>
      </w:r>
    </w:p>
    <w:p>
      <w:r>
        <w:t>FR: TF 2C_1102/2015 du 29 mars 2017</w:t>
      </w:r>
    </w:p>
    <w:p>
      <w:r>
        <w:t>IT: TF 2C_1102/2015 del 29 marzo 2017</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 arrêts 2C_1174/2014 du 24 septembre 2015 consid. 1.2 non publié in ATF 142 II 161 mais in RDAF 2016 II 28 et Pra 2016/79 p. 727; 2C_963/2014 du même jour consid. 1.3 non publié in ATF 141 II 436 mais traduit in RDAF 2016 II 374).</w:t>
      </w:r>
    </w:p>
    <w:p>
      <w:r>
        <w:t>La recourante soutient que la présente cause soulève trois questions juridiques de principe. La première a trait au champ d'application de l' art. 7 let . c LAAF. L'Administration fédérale conteste que cette disposition ait vocation à s'appliquer, comme le considèrent les juges précédents, si l'acte punissable au sens de cette disposition n'a pas été commis en Suisse. Cette question, qui revêt les caractéristiques d'une question de principe, a été tranchée dans l'arrêt 2C_893/2015 du 16 février 2017 destiné à la publication. Comme elle était encore ouverte au moment du dépôt du présent recours, il se justifie toutefois d'entrer en matière en l'espèce (arrêt 2C_527/2015 du 3 juin 2016 consid. 1.2.2 et les références). Dans ces circonstances, il n'est pas nécessaire de déterminer si les autres questions soulevées par la recourante auraient également justifié une entrée en matière (cf. arrêts 2C_1174/2014 précité consid. 1.2 non publié; 2C_511/2013 du 27 août 2013 consid. 1.3 non publié in ATF 139 II 451 ).</w:t>
      </w:r>
    </w:p>
    <w:p>
      <w:r>
        <w:t>Lorsqu'il entre en matière en raison de l'existence d'une question juridique de principe, le Tribunal fédéral examine l'affaire en application des art. 95 ss et 105 ss LTF dans son ensemble, sans se limiter aux seules questions juridiques de principe qu'elle pose ( ATF 141 II 14 consid. 1.2.2.4 p. 22 s. et les références citées; arrêt 2C_289/2015 du 5 avril 2016 consid. 1.2.1 non publié in ATF 142 II 218 mais in RF 71/2016 p. 710).</w:t>
      </w:r>
    </w:p>
    <w:p>
      <w:r>
        <w:rPr>
          <w:b/>
        </w:rPr>
        <w:t>E. 1.2</w:t>
      </w:r>
    </w:p>
    <w:p>
      <w:r>
        <w:t>Le recours a au surplus été formé en temps utile ( art. 100 al. 2 let. b LTF ) et en la forme prescrite ( art. 42 LTF ) par l'Administration fédérale, qui a qualité pour recourir au sens de l' art. 89 al. 2 let. a LTF (cf. arrêt 2C_1174/2014 précité consid. 1.3 non publié in ATF 142 II 161 mais in RDAF 2016 II 28 et Pra 2016/79 p. 727). Il convient donc d'entrer en matière.</w:t>
      </w:r>
    </w:p>
    <w:p>
      <w:r>
        <w:rPr>
          <w:b/>
        </w:rPr>
        <w:t>E. 2</w:t>
      </w:r>
    </w:p>
    <w:p>
      <w:r>
        <w:t>S'agissant du droit applicable, l'échange de renseignements est en l'espèce réglé à l'art. 28 de la Convention du 9 septembre 1966 entre la Suisse et la France en vue d'éliminer les doubles impositions en matière d'impôts sur le revenu et sur la fortune et de prévenir la fraude et l'évasion fiscales (ci-après: CDI CH-FR; RS 0.672.934.91) dans sa version actuelle, qui résulte de l'art. 7 de l'Avenant à la Convention conclu le 27 août 2009 (RO 2010 5683; ci-après: l'Avenant), ainsi que par le chiffre XI du Protocole additionnel, introduit par l'art. 10 de l'Avenant.</w:t>
      </w:r>
    </w:p>
    <w:p>
      <w:r>
        <w:t>La question de savoir si la demande d'assistance litigieuse doit être examinée à la lumière des dispositions du ch. XI du Protocole additionnel modifiées, en vigueur depuis le 30 mars 2016 (RO 2016 1195; cf. arrêt 2C_904/2015 du 8 décembre 2016 consid. 3.1) peut rester indécise, puisque ces modifications concernent des points qui n'ont pas de lien avec les aspects litigieux du cas d'espèce ni d'incidence sur le sort du recours (arrêt 2C_893/2015 précité consid. 4).</w:t>
      </w:r>
    </w:p>
    <w:p>
      <w:r>
        <w:t>Au plan interne, la LAAF est applicable (cf. art. 24 LAAF ; ATF 139 II 404 consid. 1.1 p. 408).</w:t>
      </w:r>
    </w:p>
    <w:p>
      <w:r>
        <w:rPr>
          <w:b/>
        </w:rPr>
        <w:t>E. 3</w:t>
      </w:r>
    </w:p>
    <w:p>
      <w:r>
        <w:t>Le premier point litigieux concerne la question de savoir si c'est à bon droit que les juges précédents ont retenu que la demande d'assistance administrative du 23 décembre 2013 devait être déclarée irrecevable en application de l' art. 7 let . c LAAF.</w:t>
      </w:r>
    </w:p>
    <w:p>
      <w:r>
        <w:rPr>
          <w:b/>
        </w:rPr>
        <w:t>E. 3.1</w:t>
      </w:r>
    </w:p>
    <w:p>
      <w:r>
        <w:t>Selon cette disposition,</w:t>
      </w:r>
    </w:p>
    <w:p>
      <w:r>
        <w:t>il n'est pas entré en matière lorsque la demande viole le principe de la bonne foi, notamment lorsqu'elle se fonde sur des renseignements obtenus par des actes punissables au regard du droit suisse .</w:t>
      </w:r>
    </w:p>
    <w:p>
      <w:r>
        <w:rPr>
          <w:b/>
        </w:rPr>
        <w:t>E. 3.2</w:t>
      </w:r>
    </w:p>
    <w:p>
      <w:r>
        <w:t>Dans son arrêt A-6843/2014 du 15 septembre 2015, le Tribunal administratif fédéral a conclu que l'autorité requérante s'était fondée sur des renseignements obtenus par des actes ayant constitué une violation du secret bancaire ( art. 47 LB ) et du secret commercial ( art. 162 CP ) pour former la demande d'assistance administrative du 23 décembre 2013, de sorte que celle-ci devait être déclarée irrecevable en application de l' art. 7 let . c LAAF. Appliquant cette jurisprudence à la présente cause, il en a déduit dans l'arrêt attaqué que la demande d'assistance administrative du 23 décembre 2013 était également irrecevable en tant qu'elle visait A.________.</w:t>
      </w:r>
    </w:p>
    <w:p>
      <w:r>
        <w:rPr>
          <w:b/>
        </w:rPr>
        <w:t>E. 3.3</w:t>
      </w:r>
    </w:p>
    <w:p>
      <w:r>
        <w:t>L'approche développée dans l'arrêt A-6843/2014 n'a pas été suivie par le Tribunal fédéral. Dans l'arrêt de principe 2C_893/2015 précité, destiné à la publication, la Cour de céans a retenu qu'il n'y avait pas lieu d'examiner si l' art. 7 let . c LAAF pouvait à lui seul fonder l'irrecevabilité de la demande d'assistance administrative du 23 décembre 2013, dès lors que cette disposition, à supposer qu'elle soit opposable à une demande d'assistance administrative, point qui pouvait rester ouvert, ne visait pas ce cas d'espèce. En effet, contrairement à ce que soutenait le Tribunal administratif fédéral, l'expression "actes punissables au regard du droit suisse" qui y figurait renvoyait à des actes effectivement punissables en Suisse (consid. 8.5 à 8.5.6). Or, la demande d'assistance administrative du 23 décembre 2013 - qui pouvait être qualifiée de demande d'assistance administrative collective en tant qu'elle visait un nombre important de personnes identifiées, cf. consid. 12.1 - ne reposait sur aucun acte susceptible de poursuite pénale en Suisse. Cette demande ne tombait donc pas dans le champ d'application de l' art. 7 let . c LAAF (consid. 8.6 à 8.6.4).</w:t>
      </w:r>
    </w:p>
    <w:p>
      <w:r>
        <w:rPr>
          <w:b/>
        </w:rPr>
        <w:t>E. 3.4</w:t>
      </w:r>
    </w:p>
    <w:p>
      <w:r>
        <w:t>Le nom de A.________ apparaissant également dans la demande d'assistance administrative du 23 décembre 2013, cette jurisprudence s'applique au cas d'espèce. Il s'ensuit que c'est à tort que les juges précédents ont déclaré irrecevable pour violation de l' art. 7 let . c LAAF la demande d'assistance administrative litigieuse.</w:t>
      </w:r>
    </w:p>
    <w:p>
      <w:r>
        <w:rPr>
          <w:b/>
        </w:rPr>
        <w:t>E. 4</w:t>
      </w:r>
    </w:p>
    <w:p>
      <w:r>
        <w:t>Comme le Tribunal administratif fédéral a jugé la demande d'assistance administrative du 23 décembre 2013 irrecevable, il n'a pas examiné si la communication de l'ensemble des renseignements telle que décidée par l'Administration fédérale remplissait toutes les autres conditions de l'assistance administrative, ni ne s'est prononcé sur tous les griefs soulevés par l'intimé.</w:t>
      </w:r>
    </w:p>
    <w:p>
      <w:r>
        <w:t>Il convient dès lors de renvoyer le dossier de la cause aux juges précédents pour nouvelle décision ( art. 107 al. 2 LTF ; cf. arrêt 2C_988/2015 du 29 mars 2017consid. 5.2).</w:t>
      </w:r>
    </w:p>
    <w:p>
      <w:r>
        <w:rPr>
          <w:b/>
        </w:rPr>
        <w:t>E. 5</w:t>
      </w:r>
    </w:p>
    <w:p>
      <w:r>
        <w:t>Au vu de ce qui précède, le recours est admis. Les chiffres 2 à 5 du dispositif sont annulés et la cause renvoyée au Tribunal administratif fédéral pour nouvelle décision dans le sens des considérants. Le chiffre 1 du dispositif de l'arrêt attaqué, qui concerne le refus de suspendre la procédure, est confirmé dans la mesure où il n'est pas devenu sans objet.</w:t>
      </w:r>
    </w:p>
    <w:p>
      <w:r>
        <w:t>Compte tenu de l'issue du litige, les frais seront mis à la charge de l'intimé,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