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2C_1102/2012 vom 20. Dezember 2012</w:t>
      </w:r>
    </w:p>
    <w:p>
      <w:r>
        <w:t>Bundesgericht, 2012-12-20, DE</w:t>
      </w:r>
    </w:p>
    <w:p>
      <w:r>
        <w:rPr>
          <w:b/>
        </w:rPr>
        <w:t xml:space="preserve">Quelle: </w:t>
      </w:r>
      <w:r>
        <w:t>https://mcp.opencaselaw.ch/entscheid/bger_2C_1102_2012</w:t>
      </w:r>
    </w:p>
    <w:p>
      <w:r>
        <w:t>FR: TF 2C_1102/2012 du 20 décembre 2012</w:t>
      </w:r>
    </w:p>
    <w:p>
      <w:r>
        <w:t>IT: TF 2C_1102/2012 del 20 dicembre 2012</w:t>
      </w:r>
    </w:p>
    <w:p>
      <w:pPr>
        <w:pStyle w:val="Heading2"/>
      </w:pPr>
      <w:r>
        <w:t>Erwägungen</w:t>
      </w:r>
    </w:p>
    <w:p>
      <w:r>
        <w:rPr>
          <w:b/>
        </w:rPr>
        <w:t>E. 1</w:t>
      </w:r>
    </w:p>
    <w:p>
      <w:r>
        <w:t>Wird vorgängig des Sachentscheids ein Gesuch um unentgeltliche Rechtspflege abgewiesen, so handelt es sich dabei um eine Zwischenverfügung; ein Rechtsmittelentscheid betreffend einen solchen Entscheid ist seinerseits eine Zwischenverfügung. Der angefochtene Entscheid ist daher entgegen der Auffassung des Beschwerdeführers kein Endentscheid ( Art. 90 BGG ), sondern ein Zwischenentscheid, der nur unter den Voraussetzungen von Art. 92 oder 93 BGG beim Bundesgericht anfechtbar ist ( BGE 133 IV 335 E. 4 S. 338). In Frage kommt vorliegend einzig der Eintretensgrund des nicht wieder gutzumachenden Nachteils ( Art. 93 Abs. 1 lit. a BGG ). Die Verweigerung der unentgeltlichen Rechtspflege kann einen solchen Nachteil bewirken. Das ist namentlich der Fall, wenn nicht nur die unentgeltliche Rechtspflege verweigert, sondern zugleich die Anhandnahme des Rechtsmittels von der Bezahlung eines Kostenvorschusses abhängig gemacht wird ( BGE 133 V 402 E. 1.2 S. 403; Urteil 4A_100/2009 vom 15. September 2009 E. 1.3, nicht publ. in BGE 135 III 603 ). Ebenso liegt ein nicht wieder gutzumachender Nachteil vor, wenn die Aufgabe des Rechtsvertreters mit dem Verfassen und Einreichen der Beschwerdeschrift nicht abgeschlossen ist, sondern im weiteren Verlauf zusätzliche Interventionen notwendig oder zumindest angezeigt sind ( BGE 133 IV 335 E. 4 S. 338 f.; Urteil 8C_530/2008 vom 25. September 2008 E. 2.3). Geht es hingegen nur noch um nachträgliche Entscheide, die auf den Ablauf des Rechtsmittelverfahrens keinen Einfluss mehr haben (z.B. Höhe des Honorars für den amtlichen Rechtsbeistand), liegt kein nicht wieder gutzumachender Nachteil vor ( BGE 133 V 645 E. 2.2 S. 647 f.).</w:t>
      </w:r>
    </w:p>
    <w:p>
      <w:r>
        <w:rPr>
          <w:b/>
        </w:rPr>
        <w:t>E. 2</w:t>
      </w:r>
    </w:p>
    <w:p>
      <w:r>
        <w:t>Vorliegend macht der Beschwerdeführer nicht geltend, die Rekurskommission habe für die Behandlung seines Rekurses einen Kostenvorschuss verlangt, und solches ist auch nicht aktenkundig. Im Gegenteil geht aus der vom Beschwerdeführer im Verfahren 2C_1207/2012 erhobenen Beschwerde hervor, dass inzwischen die Rekurskommission über den Rekurs entschieden hat, obwohl das Gesuch um unentgeltliche Rechtspflege abgelehnt wurde. Es ist daher nicht ersichtlich, inwiefern die Zwischenverfügung einen nicht wieder gutzumachenden Nachteil bewirken könnte. Die Verweigerung der unentgeltlichen Rechtspflege kann auch im Rahmen des Endentscheids noch angefochten werden ( Art. 93 Abs. 3 BGG ).</w:t>
      </w:r>
    </w:p>
    <w:p>
      <w:r>
        <w:rPr>
          <w:b/>
        </w:rPr>
        <w:t>E. 3</w:t>
      </w:r>
    </w:p>
    <w:p>
      <w:r>
        <w:t>Auf die Beschwerde ist daher nicht einzutreten. Der Beschwerdeführer trägt grundsätzlich die Gerichtskosten ( Art. 66 Abs. 1 BGG ). Da er aber als nicht Rechtskundiger auf die Rechtsmittelbelehrung vertrauen durfte, ist auf die Erhebung von Gerichtskosten zu verzichten ( Art. 49 BGG ). Das Gesuch um Gewährung der unentgeltlichen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