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2C_1100/2016 vom 17. März 2017</w:t>
      </w:r>
    </w:p>
    <w:p>
      <w:r>
        <w:t>Bundesgericht, 2017-03-17, DE</w:t>
      </w:r>
    </w:p>
    <w:p>
      <w:r>
        <w:rPr>
          <w:b/>
        </w:rPr>
        <w:t xml:space="preserve">Quelle: </w:t>
      </w:r>
      <w:r>
        <w:t>https://mcp.opencaselaw.ch/entscheid/bger_2C_1100_2016</w:t>
      </w:r>
    </w:p>
    <w:p>
      <w:r>
        <w:t>FR: TF 2C_1100/2016 du 17 mars 2017</w:t>
      </w:r>
    </w:p>
    <w:p>
      <w:r>
        <w:t>IT: TF 2C_1100/2016 del 17 marzo 2017</w:t>
      </w:r>
    </w:p>
    <w:p>
      <w:pPr>
        <w:pStyle w:val="Heading2"/>
      </w:pPr>
      <w:r>
        <w:t>Erwägungen</w:t>
      </w:r>
    </w:p>
    <w:p>
      <w:r>
        <w:rPr>
          <w:b/>
        </w:rPr>
        <w:t>E. 1.1</w:t>
      </w:r>
    </w:p>
    <w:p>
      <w:r>
        <w:t>Die Beschwerde in öffentlich-rechtlichen Angelegenheiten gegen den kantonal letztinstanzlichen Endentscheid in einer Angelegenheit des öffentlichen Rechts ist zulässig ( Art. 82 lit. a, Art. 86 Abs. 1 lit. d und Art. 90 BGG ) und rechtzeitig eingereicht ( Art. 100 Abs. 1 BGG ). Der Beschwerdeführer ist als Adressat einer Gebührenrechnung zur Beschwerde legitimiert ( Art. 89 Abs. 1 BGG ).</w:t>
      </w:r>
    </w:p>
    <w:p>
      <w:r>
        <w:rPr>
          <w:b/>
        </w:rPr>
        <w:t>E. 1.2</w:t>
      </w:r>
    </w:p>
    <w:p>
      <w:r>
        <w:t>Die Beschwerdegegnerin beantragt primär, auf die Beschwerde sei nicht einzutreten, weil sie den gesetzlichen Begründungsanforderungen nicht genüge bzw. weitergefasste Begehren enthalte als vor der Vorinstanz.</w:t>
      </w:r>
    </w:p>
    <w:p>
      <w:r>
        <w:rPr>
          <w:b/>
        </w:rPr>
        <w:t>E. 1.2.1</w:t>
      </w:r>
    </w:p>
    <w:p>
      <w:r>
        <w:t>Vor Bundesgericht sind keine neuen Begehren zulässig ( Art. 99 Abs. 2 BGG ). Der Beschwerdeführer erhebt, mit geringfügigen redaktionellen Änderungen, vor Bundesgericht die gleichen Begehren wie im kantonalen Rekurs. Sie sind grundsätzlich zulässig.</w:t>
      </w:r>
    </w:p>
    <w:p>
      <w:r>
        <w:rPr>
          <w:b/>
        </w:rPr>
        <w:t>E. 1.2.2</w:t>
      </w:r>
    </w:p>
    <w:p>
      <w:r>
        <w:t>Beschwerden an das Bundesgericht haben nebst den Begehren die Begründung zu enthalten; darin ist in gedrängter Form darzulegen, inwiefern der angefochtene Akt Recht verletzt ( Art. 42 Abs. 1 und 2 BGG ). Die Begründung braucht nicht zutreffend zu sein; verlangt wird aber, dass sich die Beschwerde mit dem angefochtenen Entscheid auseinandersetzt ( BGE 140 III 86 E. 2 S. 88 ff.). Das Begründungserfordernis bezieht sich auf die gestellten Begehren. Enthält die Beschwerde mehrere unterschiedliche Rechtsbegehren, aber nur zu einigen davon eine hinreichende Begründung, so ist auf die begründeten Begehren einzutreten, aber auf die anderen nicht. Sodann prüft das Bundesgericht die Verletzung von Grundrechten und von kantonalem und interkantonalem Recht nur insofern, als eine solche Rüge in der Beschwerde vorgebracht und begründet worden ist ( Art. 106 Abs. 2 BGG ). Es gilt insofern eine gesteigerte Rügepflicht ( BGE 139 I 229 E. 2.2 S. 232). Wird eine solche Verfassungsrüge nicht vorgebracht, kann das Bundesgericht eine Beschwerde selbst dann nicht gutheissen, wenn eine Verfassungsverletzung tatsächlich vorliegt ( BGE 139 I 229 E. 2.2 S. 232 ; 131 I 377 E. 4.3 S. 385). Stützt sich der angefochtene Entscheid auf kantonales Recht, so ist eine solche, erhöhten Anforderungen genügende Begründung Voraussetzung für das Eintreten auf die Beschwerde bzw. die einzelnen Beschwerdeanträge.</w:t>
      </w:r>
    </w:p>
    <w:p>
      <w:r>
        <w:rPr>
          <w:b/>
        </w:rPr>
        <w:t>E. 1.2.3</w:t>
      </w:r>
    </w:p>
    <w:p>
      <w:r>
        <w:t>Die Begründung muss in der Beschwerde selber enthalten sein, die innert der gesetzlichen und nicht erstreckbaren Beschwerdefrist einzureichen ist. Die aufgrund von Art. 6 Ziff. 1 EMRK bzw. Art. 29 Abs. 2 BV bestehende Möglichkeit, nach Eingang der Vernehmlassungen der Gegenpartei eine Replik einzureichen, kann nur dazu dienen, sich zu den von der Gegenpartei eingereichten Stellungnahmen zu äussern. Ausgeschlossen sind hingegen in diesem Rahmen Anträge und Rügen, die der Beschwerdeführer bereits vor Ablauf der Beschwerdefrist hätte erheben können ( BGE 135 I 19 E. 2.2 S. 21).</w:t>
      </w:r>
    </w:p>
    <w:p>
      <w:r>
        <w:rPr>
          <w:b/>
        </w:rPr>
        <w:t>E. 1.2.4</w:t>
      </w:r>
    </w:p>
    <w:p>
      <w:r>
        <w:t>Die beanstandete Gebührenrechnung ist eine Rechnung für Strombezug an einen grundversorgten Endverbraucher im Sinne von Art. 6 Abs. 1 des Bundesgesetzes vom 23. März 2007 über die Stromversorgung (Stromversorgungsgesetz, StromVG, SR 734.7). Die Gesamtgebühr setzt sich zusammen aus den Kosten für Netznutzung, Energielieferung sowie Abgaben und Leistungen an Gemeinwesen ( Art. 6 Abs. 3 StromVG ). Die Kosten der Netznutzung umfassen ihrerseits die anrechenbaren Kosten sowie Abgaben und Leistungen an Gemeinwesen ( Art. 14 Abs. 1 StromVG ). Die Kosten für die Energielieferung (im Bereich der Grundversorgung) sowie die anrechenbaren Kosten für die Netznutzung sind bundesrechtlich geregelt und werden von der ElCom reguliert (Art. 6 Abs. 1 und 4, Art. 14 ff. sowie Art. 22 Abs. 2 lit. a und b StromVG ). Die Abgaben und Leistungen an Gemeinwesen richten sich demgegenüber nach der Gesetzgebung des jeweils zuständigen Gemeinwesens, also gegebenenfalls der Kantone und Gemeinden ( BGE 138 I 468 E. 2.4 und 2.5 S. 472 f. ; 138 I 454 E. 3.6.3 S. 463; 138 II 70 ). Sie unterliegen nicht der Regulierung durch die ElCom ( BGE 138 I 468 E. 2.5 S. 472 f.; Urteile 2C_824/2015 vom 21. Juli 2016 E. 1.1.1; 2C_226/2012 vom 10. Juni 2013 E. 4.2).</w:t>
      </w:r>
    </w:p>
    <w:p>
      <w:r>
        <w:rPr>
          <w:b/>
        </w:rPr>
        <w:t>E. 1.2.5</w:t>
      </w:r>
    </w:p>
    <w:p>
      <w:r>
        <w:t>Der Beschwerdeführer beanstandet die Gebührenrechnung in Bezug auf drei Kostenanteile, nämlich (1) Kosten für die öffentliche Beleuchtung und die öffentlichen Uhren und (2) Kosten für die Allmendbenützung (Rechtsbegehren Ziff. 1 und 2) sowie (3) Sponsorenbeiträge der IWB an das Theater Basel und andere Institutionen (Rechtsbegehren Ziff. 3 und 4). Alle diese Kostenanteile gehören nicht zu den bundesrechtlich geregelten, durch die ElCom regulierten Kostenkomponenten. Sie stützen sich auf kantonales Recht, so dass die erhöhten Begründungsanforderungen zum Tragen kommen (vorne E. 1.2.2).</w:t>
      </w:r>
    </w:p>
    <w:p>
      <w:r>
        <w:rPr>
          <w:b/>
        </w:rPr>
        <w:t>E. 1.2.6</w:t>
      </w:r>
    </w:p>
    <w:p>
      <w:r>
        <w:t>Entgegen der Auffassung der Beschwerdegegnerin liegt in Bezug auf die Kostenanteile (1) und (2) eine hinreichende Beschwerdebegründung vor (hinten E. 2.3 und 3.2). Auf die Rechtsbegehren Ziff. 1 und 2 ist daher einzutreten.</w:t>
      </w:r>
    </w:p>
    <w:p>
      <w:r>
        <w:rPr>
          <w:b/>
        </w:rPr>
        <w:t>E. 1.2.7</w:t>
      </w:r>
    </w:p>
    <w:p>
      <w:r>
        <w:t>In Bezug auf die Sponsorenbeiträge an das Theater Basel und weitere Institutionen führt der Beschwerdeführer einzig aus, die Basler Stromkonsumenten wollten nicht mit ihren Stromgebühren kulturelle Anstrengungen nach den Qualitätsvorstellungen der IWB unterstützen; diese brauchten keine Sponsorentätigkeit zur Förderung ihres Umsatzes. Damit ist aber nicht rechtsgenüglich dargelegt, inwiefern der angefochtene Entscheid kantonales Recht oder Grundrechte verletzen soll. Auf das Rechtsbegehren Ziff. 4 ist deshalb nicht einzutreten.</w:t>
      </w:r>
    </w:p>
    <w:p>
      <w:r>
        <w:rPr>
          <w:b/>
        </w:rPr>
        <w:t>E. 1.2.8</w:t>
      </w:r>
    </w:p>
    <w:p>
      <w:r>
        <w:t>Der Beschwerdeführer rügt in diesem Zusammenhang eine Verletzung des Anspruchs auf rechtliches Gehör ( Art. 29 Abs. 2 BV ), indem die Vorinstanz seinen Antrag, die Beschwerdegegnerin habe bekannt zu geben, nach welchem Schlüssel sie Subventionszahlungen an die Basler Theater auf die einzelnen Geschäftssparten verlegen würde, formell nicht behandelt habe. Er wiederholt daher diesen Antrag vor Bundesgericht (Rechtsbegehren Ziff. 3). Eine Gehörsverletzung gilt grundsätzlich als formeller Mangel ( BGE 137 I 195 E. 2.2 S. 197), der allerdings unter gewissen Voraussetzungen auch vor Bundesgericht geheilt werden kann ( BGE 131 II 271 E. 11.7.1 S. 303 f.). Eine rechtsfehlerhaft erhobene Sachverhaltsfeststellung braucht indessen nur korrigert zu werden, wenn die Behebung des Mangels für den Ausgang des Verfahrens entscheidend sein kann ( Art. 97 Abs. 1 BGG ). Vorliegend ist unbestritten, dass die Beschwerdegegnerin im Jahr 2014 einen Betrag von Fr. 100'000.-- an das Basler Theater geleistet hat. Der Beschwerdeführer will mit seinen Stromgebühren an diese Sponsorentätigkeit nicht beitragen und hat deshalb beantragt, die Beschwerdegegnerin habe bekanntzugeben, nach welchem Schlüssel dieser Betrag auf die einzelnen Geschäftssparten verlegt wird. Die Vorinstanz hat dies nicht geprüft, so dass nicht bekannt ist, ob überhaupt und in welchem Umfang der Sponsorenaufwand der Beschwerdegegnerin auf die Gebühren der grundversorgten Endverbraucher überwälzt wird bzw. wie gross der Anteil ist, der letztlich vom Beschwerdeführer finanziert wird. Da aber auf den diesbezüglichen Antrag schon</w:t>
      </w:r>
    </w:p>
    <w:p>
      <w:r>
        <w:t>im Grundsatz nicht einzutreten ist (vorne E. 1.2.7), ist die Frage,</w:t>
      </w:r>
    </w:p>
    <w:p>
      <w:r>
        <w:t>in welchem Umfang die Gebühr solche Kostenanteile umfasst, von vornherein für den Ausgang des Verfahrens nicht rechtserheblich. Deshalb ist auch auf Rechtsbegehren Ziff. 3 nicht einzutreten und die entsprechende Gehörsrüge unbegründet.</w:t>
      </w:r>
    </w:p>
    <w:p>
      <w:r>
        <w:rPr>
          <w:b/>
        </w:rPr>
        <w:t>E. 2.1</w:t>
      </w:r>
    </w:p>
    <w:p>
      <w:r>
        <w:t>In Bezug auf die Kosten für die öffentliche Beleuchtung und die öffentlichen Uhren hat die Vorinstanz erwogen, gemäss § 5 Abs. 1 des Gesetzes vom 11. Februar 2009 über die Industriellen Werke Basel (IWB-Gesetz; SG 772.300) stellten die IWB Leistungen in den Bereichen öffentliche Beleuchtung und öffentliche Uhren sicher und finanzierten diese Leistungen durch Zuschläge zur Netzgebühr (E. 2.3 des angefochtenen Entscheids). Es handle sich dabei um eine Sondersteuer, für welche sachliche Gründe bestünden: Der Betrieb der öffentlichen Beleuchtung und der - hinsichtlich Energie- und Betriebsaufwands vernachlässigbaren - öffentlichen Uhren stehe in engem Zusammenhang mit dem Aufbau und Betrieb des Stromleitungsnetzes, von dem die Strombezüger profitierten; diese stellten keine Sondergruppe dar, so dass alle von der Leistung profitierten (E. 2.4.2 des angefochtenen Entscheids).</w:t>
      </w:r>
    </w:p>
    <w:p>
      <w:r>
        <w:rPr>
          <w:b/>
        </w:rPr>
        <w:t>E. 2.2</w:t>
      </w:r>
    </w:p>
    <w:p>
      <w:r>
        <w:t>Der Beschwerdeführer rügt in seiner Beschwerde nicht das Fehlen einer gesetzlichen Grundlage. Soweit er in seiner Replik auf das Legalitätsprinzip hinweist, ist dies verspätet (vorne E. 1.2.3). Es wird somit nicht in rechtsgenüglicher Form eine Verletzung des Legalitätsprinzips von Art. 127 Abs. 1 BV gerügt, so dass auf die Frage, ob für die streitigen Kostenanteile eine genügende gesetzliche Grundlage besteht, nicht einzugehen ist (vorne E. 1.2.2).</w:t>
      </w:r>
    </w:p>
    <w:p>
      <w:r>
        <w:rPr>
          <w:b/>
        </w:rPr>
        <w:t>E. 2.3</w:t>
      </w:r>
    </w:p>
    <w:p>
      <w:r>
        <w:t>Der Beschwerdeführer rügt hingegen, die Kosten der Stadtbeleuchtung gehörten zu den normalen Staatsunkosten, die von der Sache her durch die Steuerzahler zu bezahlen seien. Diese Kosten hätten nichts zu tun mit dem Elektrizitätsbezug der privaten Stromabnehmer. Es sei willkürlich, sie mittels Elektrizitätsbezug auf die Stromkonsumenten zu überwälzen. Er rügt damit in rechtsgenüglicher Weise, die Voraussetzungen für eine Kostenüberwälzung seien nicht gegeben.</w:t>
      </w:r>
    </w:p>
    <w:p>
      <w:r>
        <w:rPr>
          <w:b/>
        </w:rPr>
        <w:t>E. 2.3.1</w:t>
      </w:r>
    </w:p>
    <w:p>
      <w:r>
        <w:t>Die Vorinstanz hat die streitige Abgabekomponente als Kostenanlastungssteuer qualifiziert. Das erscheint als zutreffend. Zwar ist die Beschwerdegegnerin nicht ein Gemeinwesen mit Steuerhoheit, aber eine öffentlichrechtliche Anstalt mit eigener Rechtspersönlichkeit (§ 2 IWB-Gesetz) und einem gesetzlichen Versorgungsauftrag (§§ 3 ff. IWB-Gesetz). Dazu gehören der Betrieb eines Verteil-Elektrizitätsnetzes im Sinne von Art. 5 Abs. 1 StromVG (§ 4 Abs. 1 IWB-Gesetz), aber auch Leistungen (u.a.) in den Bereichen öffentliche Beleuchtung, öffentliche Uhren und öffentliche Brunnen, wofür sie Abgaben in Form eines Zuschlags zur Netzgebühr erhebt (§ 5 Abs. 1 IWB-Gesetz). Da der Verteilnetzbetreiber zumindest ein faktisches Netzmonopol hat, sind somit alle Stromkonsumenten verpflichtet, mit ihren Abgaben, die sie an die Beschwerdegegnerin bezahlen, an die Kosten der öffentlichen Beleuchtung und der öffentlichen Uhren beizutragen.</w:t>
      </w:r>
    </w:p>
    <w:p>
      <w:r>
        <w:rPr>
          <w:b/>
        </w:rPr>
        <w:t>E. 2.3.2</w:t>
      </w:r>
    </w:p>
    <w:p>
      <w:r>
        <w:t>Eine Kostenanlastungssteuer wird einer bestimmten Gruppe von Personen auferlegt, weil diese zu bestimmten Aufwendungen des Gemeinwesens in einer näheren Beziehung stehen als die übrigen Steuerpflichtigen. Sie steht in einem Spannungsverhältnis zum Grundsatz der Allgemeinheit der Besteuerung ( Art. 127 Abs. 2 BV ) und setzt daher voraus, dass sachlich haltbare Gründe bestehen, die betreffenden staatlichen Aufwendungen der erfassten Personengruppe anzulasten. Zudem muss die allfällige Abgrenzung nach haltbaren Kriterien erfolgen; andernfalls verletzt die Abgabe das Gleichheitsgebot (Urteil 2C_655/2015 vom 22. Juni 2016 E. 4.1, nicht publ. in BGE 142 I 155 ; BGE 131 II 271 E. 5.3 S. 277 ; 124 I 289 E. 3b S. 292 ; 122 I 305 E. 4b S. 310).</w:t>
      </w:r>
    </w:p>
    <w:p>
      <w:r>
        <w:rPr>
          <w:b/>
        </w:rPr>
        <w:t>E. 2.3.3</w:t>
      </w:r>
    </w:p>
    <w:p>
      <w:r>
        <w:t>Das Bundesgericht hat in BGE 124 I 289 entschieden, dass eine Regelung, welche ungefähr die Hälfte der Kosten der Strassenreinigung den Eigentümern von Grundstücken auferlegt, gegen die Rechtsgleichheit verstösst; die Grundeigentümer würden das öffentliche Strassennetz nicht stärker in Anspruch nehmen als die übrige Bevölkerung und zögen daraus auch nicht einen grösseren Nutzen (E. 3e). Aus den gleichen Gründen verstösst es gegen die Rechtsgleichheit, ausschliesslich die Grundeigentümer mit der gesamten Feuerschutzabgabe zu belasten ( BGE 122 I 305 E. 6 S. 313 ff.), für die Instandhaltung und Reinigung des kommunalen Strassennetzes arbeits- bzw. (subsidiär) ersatzabgabepflichtig zu erklären ( BGE 131 I 1 E. 4.3 und 4.4 S. 7 ff.) oder ihnen die Kosten für die Beseitigung von weggeworfenem Abfall aufzuerlegen ( BGE 138 II 111 E. 5.4 S. 128 ff.). In BGE 131 I 313 hat das Bundesgericht erwogen, eine Auferlegung der Kosten der öffentlichen Strassenbeleuchtung an die Hauseigentümer verstosse mangels eines massgeblichen Sondervorteils der abgabepflichtig erklärten Grundeigentümer gegen das Rechtsgleichheitsgebot (E. 3.6 S. 320). Anders als im Fall der basel-städtischen Strassenreinigungsabgabe ( BGE 124 I 289 ) handle es sich dabei zwar nicht um eine Kostenanlastungssteuer, da die Abgabe als Vorzugslast ausgestaltet sei; die rechtlichen Erwägungen jenes Entscheids liessen sich deshalb nicht unmittelbar auf den vorliegenden Fall übertragen; in der Sache bestehe aber insoweit eine Parallelität, als es darum gehe, ob die Kosten für Unterhalt und Betrieb öffentlicher Verkehrswege durch Sonderabgaben zu einem gewissen Teil den Eigentümern anstossender Grundstücke auferlegt werden dürften. Die Strassenbeleuchtung diene nicht in erster Linie den Hauseigentümern, sondern allen Strassenbenützern; es könne nicht generell von einem ins Gewicht fallenden individuellen Sondervorteil der erfassten Strassenanstösser ausgegangen werden, welcher es rechtfertigen könnte, die Kosten der Strassenbeleuchtung zu einem substantiellen Teil in Form von Vorzugslasten dieser Personengruppe zu überbinden (E. 3.5 S. 318 f,). Zulässig ist es hingegen, die Wuhrpflicht bzw. die entsprechenden Kosten den Grundeigentümern aufzuerlegen, da zwischen dem Zweck der erhobenen Abgabe und den damit belasteten Grundstücken ein rechtlich zulässiger Zusammenhang besteht (Urteil 2P.281/2005 vom 27. März 2006 E. 3.2).</w:t>
      </w:r>
    </w:p>
    <w:p>
      <w:r>
        <w:rPr>
          <w:b/>
        </w:rPr>
        <w:t>E. 2.3.4</w:t>
      </w:r>
    </w:p>
    <w:p>
      <w:r>
        <w:t>Anders als in den zitierten Entscheiden werden hier die Kosten nicht auf die Grundeigentümer überwälzt, sondern auf die Stromkonsumenten. Da praktisch jedermann Strom bezieht und zu diesem Zweck das von der Beschwerdegegnerin betriebene Elektrizitätsnetz in Anspruch nimmt, wird mit der Kostenüberwälzung nicht nur eine Sondergruppe belastet, sondern die Gesamtheit der Bevölkerung, welche auch von der öffentlichen Beleuchtung profitiert. Insoweit ist die Kostenüberwälzung grundsätzlich verfassungsrechtlich zulässig. Der Beschwerdeführer stellt freilich in Abrede, dass die Gesamtbevölkerung auch von öffentlichen Uhren profitiere, da jedermann ohnehin andere Uhren zur Hand habe; damit bezweifelt er allerdings nicht primär die Kostenverlegung, sondern eher den Umstand, dass überhaupt das Gesetz der Beschwerdegegnerin den Auftrag auferlegt, öffentliche Uhren zu unterhalten. Zudem legt er nicht substantiiert dar, dass die vorinstanzliche Beurteilung, dieser Aufwand sei vernachlässigbar, unhaltbar wäre.</w:t>
      </w:r>
    </w:p>
    <w:p>
      <w:r>
        <w:rPr>
          <w:b/>
        </w:rPr>
        <w:t>E. 2.3.5</w:t>
      </w:r>
    </w:p>
    <w:p>
      <w:r>
        <w:t>Zutreffend ist hingegen, dass die Aufteilung der Gesamtkosten unter die Gesamtheit der Kostenpflichtigen nach anderen Kriterien erfolgt als wenn die Leistung durch Steuern finanziert würde, nämlich proportional zum Elektrizitätsverbrauch und nicht nach dem Massstab der wirtschaftlichen Leistungsfähigkeit ( Art. 127 Abs. 2 BV ). Indessen gibt es keine verfassungsmässiges Recht und auch keine sonstige Norm des Bundesrechts, wonach alle staatlichen oder öffentlichen Aufgaben aus allgemeinen Steuermitteln finanziert werden müssen. Dass das kantonale Verfassungsrecht eine solche Vorschrift enthalten würde, wird vom Beschwerdeführer nicht dargetan (vgl. vorne E. 1.2.2). Es ist deshalb nicht ausgeschlossen, bestimmte Aufgaben anders zu finanzieren als mittels allgemeiner, aufgrund wirtschaftlicher Leistungsfähigkeit erhobener Steuern. Sonderfinanzierungen für bestimmte Aufgabenbereiche sind vielfach üblich und im Rahmen der allgemeinen verfassungsrechtlichen Schranken zulässig (vgl. GEORG MÜLLER, Sind "Service public-Abgaben" im Bereich der Versorgung mit elektrischer Energie zulässig? ZBl 2004 461 ff., 467 ff.; BGE 138 II 111 E. 3.2 S. 113 ff.). Vorliegend besteht zwar aus Sicht der einzelnen Abgabepflichtigen kein direkter Konnex zwischen ihrem Elektrizitätsverbrauch und dem Nutzen der öffentlichen Beleuchtung. Aber es ist sachlich haltbar, diese Aufgabe der Beschwerdegegnerin zu übertragen, da sie einen Zusammenhang zu der Versorgung mit leitungsgebundener Energie aufweist. Es erscheint sodann auch als haltbar, wenn die Beschwerdegegnerin diese ihr gesetzlich obliegende Aufgabe mit einem Zuschlag zur Netzgebühr finanziert, da dies ihre normale Einnahmenquelle ist. Der blosse Umstand, dass eine Finanzierung aus allgemeinen Steuermitteln auch denkbar wäre, lässt die vom kantonalen Gesetzgeber gewählte Lösung nicht als rechtsungleich oder sachlich unhaltbar erscheinen.</w:t>
      </w:r>
    </w:p>
    <w:p>
      <w:r>
        <w:rPr>
          <w:b/>
        </w:rPr>
        <w:t>E. 2.4</w:t>
      </w:r>
    </w:p>
    <w:p>
      <w:r>
        <w:t>In Bezug auf den Kostenanteil für die öffentliche Beleuchtung und öffentliche Uhren erweist sich die Beschwerde somit als unbegründet.</w:t>
      </w:r>
    </w:p>
    <w:p>
      <w:r>
        <w:rPr>
          <w:b/>
        </w:rPr>
        <w:t>E. 3.1</w:t>
      </w:r>
    </w:p>
    <w:p>
      <w:r>
        <w:t>In Bezug auf die Anlastung der Konzessionsgebühr hat die Vorinstanz ausgeführt, gemäss Art. 6 Abs. 3 StromVG könnten auch Konzessionsgebühren für die Sondernutzungen von öffentlichem Grund auf die Stromkonsumenten überwälzt werden. Gemäss § 10 des Gesetzes vom 16. Oktober 2013 über die Nutzung des öffentlichen Raumes (NöRG, SG 724.100) sei jede Nutzung des öffentlichen Raumes, welche über schlichten Gemeingebrauch hinausgehe, bewilligungs- und gebührenpflichtig. Gemäss § 30 IWB-Gesetz sei der Beschwerdegegnerin die ausschliessliche Konzession zur Nutzung der Allmend für den Bau, Betrieb und Unterhalt von Leitungen und Bauten der Energieversorgung erteilt worden, wofür die Beschwerdegegnerin den Kanton mit einer jährlichen Konzessionsgebühr zu entschädigen habe. Aufgrund der aktuell genutzten Allmendfläche von 674'974 m2 und einem Mietwert von Fr. 15.83 pro m2 sei die Konzessionsgebühr pro Jahr auf 11 Millionen Franken festgelegt worden. Der Beschwerdeführer mache nicht geltend und es sei auch nicht ersichtlich, inwiefern das Kostendeckungs- und Äquivalenzprinzip verletzt sein solle.</w:t>
      </w:r>
    </w:p>
    <w:p>
      <w:r>
        <w:rPr>
          <w:b/>
        </w:rPr>
        <w:t>E. 3.2</w:t>
      </w:r>
    </w:p>
    <w:p>
      <w:r>
        <w:t>Der Beschwerdeführer rügt eine Verletzung des Legalitätsprinzips. Die Höhe der Konzessionsgebühr sei nicht in einem dem Referendum unterstellten Gesetz festgelegt worden. Der Mietpreis von mehr als 15 Franken pro m2 lasse sich nicht mit dem Kostendeckungs- und Äequivalenzprinzip rechtfertigen.</w:t>
      </w:r>
    </w:p>
    <w:p>
      <w:r>
        <w:rPr>
          <w:b/>
        </w:rPr>
        <w:t>E. 3.3</w:t>
      </w:r>
    </w:p>
    <w:p>
      <w:r>
        <w:t>Zu den Abgaben und Leistungen an Gemeinwesen, welche nach Art. 6 Abs. 3 bzw. Art. 14 Abs. 1 StromVG auf die Netznutzer überwälzt werden können, gehören auch die Abgaben für die Benützung des öffentlichen Bodens, welche die Netzbetreiber dem Gemeinwesen zu bezahlen haben (vgl. BGE 138 II 70 ; Urteil 2C_116/2014 vom 16. August 2016). Rechtsgrundlage für diese Abgabe ist aber nicht das StromVG selber, sondern es muss eine gesetzliche Grundlage des betreffenden Gemeinwesens vorliegen. (zit. Urteil 2C_116/2014 E. 12.1).</w:t>
      </w:r>
    </w:p>
    <w:p>
      <w:r>
        <w:rPr>
          <w:b/>
        </w:rPr>
        <w:t>E. 3.4</w:t>
      </w:r>
    </w:p>
    <w:p>
      <w:r>
        <w:t>Die Beschwerdegegnerin hat von Gesetzes wegen die ausschliessliche Konzession für den Bau, Betrieb und Unterhalt von Elektrizitätsleitungen im öffentlichen Grund und Boden des Kantons (§ 30 Abs. 1 IWB-Gesetz). Sie bezahlt dem Kanton dafür eine Konzessionsgebühr (§ 30 Abs. 3 IWB-Gesetz). Schuldner der Konzessionsgebühr ist damit nicht der Beschwerdeführer, sondern die Beschwerdegegnerin. Da die Beschwerdegegnerin aber die Gebühr anteilmässig auf die von ihr versorgten Endkunden überwälzt, können sich diese auch darauf berufen, dass die letztlich von ihnen getragene Abgabe keine genügende gesetzliche Grundlage hat (vgl. BGE 124 I 11 E. 1b S. 13; Urteil 2C_116/2014 vom 16. August 2016 E. 2.3).</w:t>
      </w:r>
    </w:p>
    <w:p>
      <w:r>
        <w:rPr>
          <w:b/>
        </w:rPr>
        <w:t>E. 3.5</w:t>
      </w:r>
    </w:p>
    <w:p>
      <w:r>
        <w:t>Das abgabrechtliche Legalitätsprinzip ( Art. 127 Abs. 1 BV ) verlangt, dass der Kreis der Abgabepflichtigen, der Gegenstand der Abgabe und deren Bemessung in den Grundzügen im formellen Gesetz enthalten sein muss. Nach der Rechtsprechung können die Vorgaben betreffend die formellgesetzliche Bemessung der Abgaben bei gewissen Arten von Kausalabgaben gelockert werden, wo das Mass der Abgabe durch überprüfbare verfassungsrechtliche Prinzipien (Kostendeckungs- und Äquivalenzprinzip) begrenzt wird und nicht allein der Gesetzesvorbehalt diese Schutzfunktion erfüllt ( BGE 141 V 509 E. 7.1.1 S. 516 ; 135 I 130 E. 7.2 S. 140 ; 134 I 179 E. 6.1 S. 180; 132 II 371 E. 2.1 S. 374 ; 121 I 230 E. 3e und g/aa S. 235 ff.). Die Tragweite des Legalitätsprinzips ist je nach Art der Abgabe zu nuancieren. Dabei darf das Legalitätsprinzip weder seines Gehalts entleert noch in einer Weise überspannt werden, dass es mit der Rechtswirklichkeit und dem Erfordernis der Praktikabilität in einen unlösbaren Widerspruch gerät ( BGE 135 I 130 E. 7.2 S. 140; 132 II 371 E. 2.1 S. 374 f. ; 130 I 113 E. 2.2 S. 116; 128 II 112 E. 5a S. 117 ; 123 I 248 E. 2 S. 249).</w:t>
      </w:r>
    </w:p>
    <w:p>
      <w:r>
        <w:rPr>
          <w:b/>
        </w:rPr>
        <w:t>E. 3.6</w:t>
      </w:r>
    </w:p>
    <w:p>
      <w:r>
        <w:t>Die formellgesetzliche Grundlage für die Konzessionsabgabe, welche die Beschwerdegegnerin dem Kanton bezahlt (§ 30 Abs. 3 IWB-Gesetz), legt weder Grundzüge der Bemessung noch Höhe der Abgabe fest, sondern delegiert die Kompetenz zur Festlegung der Gebühr ohne jede inhaltliche Vorgabe an den Regierungsrat. Dieser hat gestützt darauf in § 2 der Verordnung vom 21. Dezember 2010 betreffend die von den IWB Industrielle Werke Basel zu entrichtende Konzessionsabgabe (SG 772.350) die Gebühr auf Fr. 15.83 pro m2 und die gesamte Konzessionsgebühr pro Jahr auf 11 Millionen Franken festgelegt.</w:t>
      </w:r>
    </w:p>
    <w:p>
      <w:r>
        <w:rPr>
          <w:b/>
        </w:rPr>
        <w:t>E. 3.7</w:t>
      </w:r>
    </w:p>
    <w:p>
      <w:r>
        <w:t>Die regierungsrätliche Verordnung ist kein formelles Gesetz. Sie kann daher nicht selber die Anforderungen an die gesetzliche Grundlage erfüllen. Die Vorinstanz geht aber davon aus, die Anforderungen an die gesetzliche Grundlage könnten auch für Benützungsgebühren mit Blick auf das Kostendeckungs- und das Äquivalenzprinzip gelockert werden.</w:t>
      </w:r>
    </w:p>
    <w:p>
      <w:r>
        <w:rPr>
          <w:b/>
        </w:rPr>
        <w:t>E. 3.7.1</w:t>
      </w:r>
    </w:p>
    <w:p>
      <w:r>
        <w:t>Das Kostendeckungsprinzip besagt, dass die Gesamteingänge an Abgaben den Gesamtaufwand für den betreffenden Verwaltungszweig nicht oder höchstens geringfügig überschreiten sollen ( BGE 141 V 509 E. 7.1.2 S. 516 f.). Es kann daher nur bei kostenabhängigen Kausalabgaben zum Tragen kommen und das Fehlen einer hinreichend bestimmten gesetzlichen Grundlage kompensieren ( BGE 141 V 509 E. 7.1.2 S. 516 f.; 131 II 271 E. 7.3 S. 287; 131 II 735 E. 3.2 S. 739 f. ; 126 I 180 E. 3a/aa S. 188 ; 121 I 230 E. 3e S. 236; TSCHANNEN/ZIMMERLI/MÜLLER, Allgemeines Verwaltungsrecht, 4. Aufl. 2014, S. 575 Rz. 12; RENÉ WIEDERKEHR/PAUL RICHLI, Praxis des allgemeinen Verwaltungsrechts, Bd. II, S. 420 f.; RENÉ WIEDERKEHR, Kausalabgaben, 2015, S. 80). Benützungsgebühren können kostenabhängig sein, wenn sie die Benützung einer Verwaltungstätigkeit abgelten, welche für das Gemeinwesen einen bestimmten, dem Verwaltungszweig zurechenbaren Aufwand verursachen, wie z.B. unter gewissen Umständen eine Wasserversorgung (vgl. Urteil 2C_809/2015 vom 16. Februar 2016 E. 5.4.2; HÄFELIN/MÜLLER/UHLMANN, Allgemeines Verwaltungsrecht, 7. Aufl. 2016, S. 635 Rz. 2783). Abgesehen von solchen Fällen entzieht sich aber die Benützungsgebühr in der Regel einer Überprüfung unter dem Gesichtspunkt der Kostendeckung. Insoweit gilt das Erfordernis der formellgesetzlichen Grundlage uneingeschränkt ( BGE 120 Ia 265 E. 2b S. 267 f.; 118 Ia 320 E. 4b S. 324 f.; 104 Ia 113 E. 3 S. 115 ff.; Urteil 2C_150/2007 vom 9. August 2007 E. 4). Die Auffassung der Vorinstanz, bei Benützungsgebühren könnten wegen der Überprüfbarkeit anhand des Kostendeckungs- und des Äquivalenzprinzips die Anforderungen an die gesetzliche Grundlage reduziert werden, kann in dieser allgemeinen Form nicht geteilt werden.</w:t>
      </w:r>
    </w:p>
    <w:p>
      <w:r>
        <w:rPr>
          <w:b/>
        </w:rPr>
        <w:t>E. 3.7.2</w:t>
      </w:r>
    </w:p>
    <w:p>
      <w:r>
        <w:t>Konzessions- und Regalgebühren sind im allgemeinen nicht kostenabhängig und unterliegen daher nicht dem Kostendeckungsprinzip, da dem Gemeinwesen durch die Konzessionsverleihung keine Kosten erwachsen ausser den administrativen ( BGE 131 II 735 E. 3.2 S. 740; 121 II 183 E. 4a S. 187 f.; 119 Ia 123 E. 3c S. 130; Urteil 2C_729/2013 vom 3. April 2014 E. 2.3; JACQUES DUBEY/JEAN-BAPTISTE ZUFFEREY, Droit administratif général, 2014, S. 651 Rz. 1847; WIEDERKEHR, a.a.O., S. 65 f.). Das gilt auch für Abgaben für die Sondernutzung oder den gesteigerten Gemeingebrauch von öffentlichen Gütern, so dass das Legalitätsprinzip nicht mit Rücksicht auf das Kostendeckungsprinzip gelockert werden kann, jedenfalls wenn mangels vergleichbarer privater Angebote auch kein Marktpreis besteht, mit dem die staatlichen Gebühren verglichen werden könnten ( BGE 104 Ia 113 E. 3 S. 115 f.; 100 Ia 131 E. 6c S. 140 ff.; Urteile 2C_729/2013 E. 4.2; 2C_609/2010 vom 18. Juni 2011 E. 3.2; 2P.93/1994 vom 21. November 1994 E. 3c).</w:t>
      </w:r>
    </w:p>
    <w:p>
      <w:r>
        <w:rPr>
          <w:b/>
        </w:rPr>
        <w:t>E. 3.7.3</w:t>
      </w:r>
    </w:p>
    <w:p>
      <w:r>
        <w:t>Das Bundesgericht hat im Urteil 2C_729/2013 vom 3. April 2013 allerdings eine formellgesetzliche Grundlage als genügend betrachtet, nach welcher sich die Abgabe für die Sondernutzung an öffentlichen Gewässern "nach Massgabe der eingeräumten Sondervorteile, namentlich des wirtschaftlichen Nutzens, der Art und Dauer der Konzession oder der Bewilligung, der für die Öffentlichkeit entstehenden Nachteile, des Verwendungszwecks, der Menge des beanspruchten Wassers sowie - bei der Inanspruchnahme der Gewässer - des Wertes angrenzender Grundstücke" bemass. Es erwog, dass der Sondervorteil in der Regel ein wirtschaftlicher sei, so dass das Kriterium des "wirtschaftlichen Nutzens" eine hinsichtlich der Abgabenhöhe begrenzende Funktion habe; der Marktwert könne als Vergleichsgrösse dienen, sofern ein solcher bestehe; weil der Regierungsrat gestützt darauf für die Berechnung der Gebührenhöhe auf die Regeln über die Bewertung der Liegenschaften und die Festsetzung der Eigenmietwerte verwies, was als obere Grenze zu verstehen sei, wurde die gesetzliche Grundlage als genügend betrachtet ( zit. Urteil, E. 4.4 und 4.5).</w:t>
      </w:r>
    </w:p>
    <w:p>
      <w:r>
        <w:rPr>
          <w:b/>
        </w:rPr>
        <w:t>E. 3.7.4</w:t>
      </w:r>
    </w:p>
    <w:p>
      <w:r>
        <w:t>Im Unterschied zu dem zuletzt genannten Fall nennt hier das formelle Gesetz, auf welches sich die regierungsrätliche Verordnung stützt,</w:t>
      </w:r>
    </w:p>
    <w:p>
      <w:r>
        <w:t>überhaupt keine Kriterien für die Bemessung der Abgabe. Zwar enthält § 28 NöRG Grundsätze für die Bemessung der Gebühren für die Nutzung des öffentlichen Raumes zu Sonderzwecken. Dafür sollen das Äquivalenz- und das Interessenprinzip gelten, was mit einigen zu berücksichtigenden Faktoren beispielhaft illustriert wird. Dabei fällt auf, dass das Kostendeckungsprinzip nicht erwähnt wird, was bestätigt, dass die Sondernutzungsbgabe auch nach der Konzeption des basel-städtischen Gesetzgebers kostenunabhängig ist. Sodann stützt sich die Verordnung betreffend die von den IWB zu entrichtende Konzessionsgebühr nach ihrem Ingress nicht auf § 28 NöRG (welches in seinem § 1 Abs. 3 zudem übergeordnetes oder spezielles Recht vorbehält), sondern einzig auf § 30 des IWB-Gesetzes. Es ist demzufolge nicht ersichtlich, ob sich der Regierungsrat bei der Festlegung der Abgabe überhaupt an die Grundsätze von § 28 NöRG als gebunden erachtet hat. Sodann haben weder die Beschwerdegegnerin noch die Vorinstanz geltend gemacht, dass dem Kanton durch die Konzessionsverleihung an die IWB Kosten im Umfang von 11 Mio. Franken pro Jahr entstehen würden. Schliesslich ist auch nicht ersichtlich, dass in Bezug auf die Allmendbenützung ein vergleichbares privates Angebot bestünde, so dass ein Marktwert bestimmbar wäre. Die Höhe der Konzessionsabgabe kann somit nicht anhand verfassungsrechtlicher Prinzipien überprüft werden. Die Anforderungen an die gesetzliche Grundlage können daher entgegen der Auffassung der Vorinstanz nicht gelockert werden.</w:t>
      </w:r>
    </w:p>
    <w:p>
      <w:r>
        <w:rPr>
          <w:b/>
        </w:rPr>
        <w:t>E. 3.8</w:t>
      </w:r>
    </w:p>
    <w:p>
      <w:r>
        <w:t>Insgesamt ergibt sich, dass die gesetzliche Grundlage für die den Elektrizitätskonsumenten überwälzte Konzessionsgebühr, welche die Beschwerdegegnerin an den Kanton bezahlt, ungenügend ist. In diesem Punkt ist die Beschwerde begründet. Der Beschwerdeführer scheint davon auszugehen, dass der dieser Gebühr entsprechende Anteil seiner Elektrizitätsrechnung Fr. 160.81 beträgt. Aus der von ihm eingereichten Rechnung ergibt sich jedoch, dass dieser Betrag dem gesamten Netznutzungsentgelt ( Art. 14 StromVG ) entspricht und nicht mit dem Kostenanteil "Konzessionsabgabe" gleichgesetzt werden kann. Da auch vorinstanzliche Feststellungen zur Höhe des hier betroffenen Kostenanteils fehlen, ist die Sache an die Vorinstanz zurückzuweisen, damit sie die Gebührenrechnung in dem Umfang reduziere, als der Beschwerdeführer verpflichtet wird, Beiträge zu bezahlen an die Konzessionsgebühr für die Benutzung der Allmend.</w:t>
      </w:r>
    </w:p>
    <w:p>
      <w:r>
        <w:rPr>
          <w:b/>
        </w:rPr>
        <w:t>E. 4</w:t>
      </w:r>
    </w:p>
    <w:p>
      <w:r>
        <w:t>Der Beschwerdeführer obsiegt damit teilweise. Da die ziffernmässigen Anteile des Obsiegens und Unterliegens nicht bekannt sind, ist ermessensweise von einem hälftigen Obsiegen auszugehen. Die Verfahrenskosten sind dementsprechend je zur Hälfte dem Beschwerdeführer und der Beschwerdegegnerin, welche in ihrem Vermögensinteresse handelt, aufzuerlegen ( Art. 66 Abs. 1 und 4 BGG ). Parteientschädigungen sind nicht geschuldet, da der Beschwerdeführer nicht anwaltlich vertreten ist und die Beschwerdegegnerin eine mit öffentlich-rechtlichen Aufgaben betraute Organisation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