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10/2020 vom 7. Januar 2020</w:t>
      </w:r>
    </w:p>
    <w:p>
      <w:r>
        <w:t>Bundesgericht, 2020-01-07, FR</w:t>
      </w:r>
    </w:p>
    <w:p>
      <w:r>
        <w:rPr>
          <w:b/>
        </w:rPr>
        <w:t xml:space="preserve">Quelle: </w:t>
      </w:r>
      <w:r>
        <w:t>https://mcp.opencaselaw.ch/entscheid/bger_2C_10_2020</w:t>
      </w:r>
    </w:p>
    <w:p>
      <w:r>
        <w:t>FR: TF 2C 10/2020 du 7 janvier 2020</w:t>
      </w:r>
    </w:p>
    <w:p>
      <w:r>
        <w:t>IT: TF 2C 10/2020 del 7 gennaio 2020</w:t>
      </w:r>
    </w:p>
    <w:p>
      <w:pPr>
        <w:pStyle w:val="Heading2"/>
      </w:pPr>
      <w:r>
        <w:t>Regeste</w:t>
      </w:r>
    </w:p>
    <w:p>
      <w:r>
        <w:t>Avocat, dénonciation | Droit fondamental</w:t>
      </w:r>
    </w:p>
    <w:p>
      <w:pPr>
        <w:pStyle w:val="Heading2"/>
      </w:pPr>
      <w:r>
        <w:t>Erwägungen</w:t>
      </w:r>
    </w:p>
    <w:p>
      <w:r>
        <w:rPr>
          <w:b/>
        </w:rPr>
        <w:t>E. 1</w:t>
      </w:r>
    </w:p>
    <w:p>
      <w:r>
        <w:t>Par arrêt du 12 novembre 2019, notifié le 22 novembre 2019, la Cour de justice du canton de Genève a déclaré irrecevable le recours que A.A.________ avait déposé contre la décision rendue par la Commission du Barreau du canton de Genève de classer la dénonciation que l'intéressée avait déposée à l'encontre de Me C.________, alors avocat du Collège D.________. Selon l'intéressée, Me C.________ avait permis l'exécution d'un transfert de garde avant la décision du TPAE, avait transigé, pour le compte du collège, avec le père de B.A.________, ex-compagnon de l'intéressée, et avait refusé sans raison valable la réinscription de B.A.________ dans ce collège causant préjudice à l'enfant et calomniant sa mère.</w:t>
      </w:r>
    </w:p>
    <w:p>
      <w:r>
        <w:rPr>
          <w:b/>
        </w:rPr>
        <w:t>E. 2</w:t>
      </w:r>
    </w:p>
    <w:p>
      <w:r>
        <w:t>Par courrier du 3 janvier 2020, A.A.________ dépose un recours contre l'arrêt rendu le 12 novembre 2019 par la Cour de justice du canton de Genève. Elle demande au Tribunal fédéral de lui accorder l'assistance judiciaire et d'ordonner la reprise de l'instruction de la dénonciation par la Commission du barreau et l'audition de cinq personnes.</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 En l'espèce, le litige porte uniquement sur l'irrecevabilité prononcée par la Cour de justice du canton de Genève et non pas sur le refus de suivre la dénonciation. Or, la recourante ne formule aucun grief à l'encontre des motifs exposés par l'instance précédente en relation avec dite irrecevabilité. Les autres griefs sont irrecevables parce qu'ils s'écartent de l'objet du litige. A supposer que la recourante ait formulé des griefs recevables, ils auraient dû être rejetés. Selon la jurisprudence, la seule qualité de plaignant ou de dénonciateur ne donne pas le droit de recourir contre la décision prise. En effet, la qualité pour recourir du plaignant dans le cadre d'une procédure disciplinaire dirigée contre un avocat a été niée, au motif que le dénonciateur n'a pas un intérêt propre et digne de protection à demander une sanction disciplinaire à l'encontre de l'avocat pour une éventuelle violation de ses obligations professionnelles. La procédure de surveillance disciplinaire des avocats a pour but d'assurer l'exercice correct de la profession par les avocats et de préserver la confiance du public à leur égard, et non de défendre les intérêts privés des particuliers ( ATF 135 II 145 consid. 6.1 p. 150 ss; 132 II 250 consid. 4.4 p. 255; 108 Ia 230 consid. 2b p. 232). Par conséquent, c'est à bon droit que l'instance précédente a nié la qualité pour recourir de la recourante.</w:t>
      </w:r>
    </w:p>
    <w:p>
      <w:r>
        <w:rPr>
          <w:b/>
        </w:rPr>
        <w:t>E. 4</w:t>
      </w:r>
    </w:p>
    <w:p>
      <w:r>
        <w:t>Le présent recours est ainsi manifestement irrecevable ( art. 108 al. 1 let. a et b LTF ) et doit être traité selon la procédure simplifiée de l' art. 108 LTF , sans qu'il y ait lieu d'ordonner un échange d'écritures. Le recours était d'emblée dénué de chances de succès, de sorte que la demande d'assistance judiciaire est rejetée (cf. art. 64 LTF ). Succombant, la recourante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