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10/2007 vom 8. Oktober 2007</w:t>
      </w:r>
    </w:p>
    <w:p>
      <w:r>
        <w:t>Bundesgericht, 2007-10-08, DE</w:t>
      </w:r>
    </w:p>
    <w:p>
      <w:r>
        <w:rPr>
          <w:b/>
        </w:rPr>
        <w:t xml:space="preserve">Quelle: </w:t>
      </w:r>
      <w:r>
        <w:t>https://mcp.opencaselaw.ch/entscheid/bger_2C_10_2007</w:t>
      </w:r>
    </w:p>
    <w:p>
      <w:r>
        <w:t>FR: TF 2C 10/2007 du 8 octobre 2007</w:t>
      </w:r>
    </w:p>
    <w:p>
      <w:r>
        <w:t>IT: TF 2C 10/2007 del 8 ottobre 2007</w:t>
      </w:r>
    </w:p>
    <w:p>
      <w:pPr>
        <w:pStyle w:val="Heading2"/>
      </w:pPr>
      <w:r>
        <w:t>Regeste</w:t>
      </w:r>
    </w:p>
    <w:p>
      <w:r>
        <w:t>Verzugszinsen Staats- und Gemeindesteuern 1997 und 1998 | Öffentliche Finanzen &amp; Abgaberecht</w:t>
      </w:r>
    </w:p>
    <w:p>
      <w:pPr>
        <w:pStyle w:val="Heading2"/>
      </w:pPr>
      <w:r>
        <w:t>Erwägungen</w:t>
      </w:r>
    </w:p>
    <w:p>
      <w:r>
        <w:rPr>
          <w:b/>
        </w:rPr>
        <w:t>E. 1.1</w:t>
      </w:r>
    </w:p>
    <w:p>
      <w:r>
        <w:t>Der angefochtene Entscheid ist nach dem 31. Dezember 2006 ergangen. Das Verfahren untersteht daher dem Bundesgesetz über das Bundesgericht (BGG) und nicht dem altrechtlichen Bundesrechtspflegegesetz (OG; vgl. Art. 132 Abs. 1 BGG ).</w:t>
      </w:r>
    </w:p>
    <w:p>
      <w:r>
        <w:rPr>
          <w:b/>
        </w:rPr>
        <w:t>E. 1.2</w:t>
      </w:r>
    </w:p>
    <w:p>
      <w:r>
        <w:t>Beim angefochtenen Entscheid über Verzugszinsforderungen für die Staats- und Gemeindesteuern der Jahre 1997 und 1998 handelt es sich um einen Entscheid in Angelegenheiten des öffentlichen Rechts gemäss Art. 82 lit. a BGG . Nach Art. 191a Abs. 2 des Gesetzes vom 14. September 1992 über die Staats- und Gemeindesteuern (Steuergesetz) des Kantons Thurgau sind Rekursentscheide der Steuerverwaltung endgültig und somit im Sinne von Art. 86 Abs. 1 lit. d BGG letztinstanzlich. Obwohl es sich bei der Steuerverwaltung nicht um ein Gericht gemäss Art. 86 Abs. 2 BGG handelt, ist die Beschwerde ans Bundesgericht gestützt auf Art. 130 Abs. 3 BGG zulässig, wonach den Kantonen eine Frist von zwei Jahren unter anderem zur Einrichtung der nach Art. 86 Abs. 2 BGG erforderlichen gerichtlichen Instanzen verbleibt.</w:t>
      </w:r>
    </w:p>
    <w:p>
      <w:r>
        <w:rPr>
          <w:b/>
        </w:rPr>
        <w:t>E. 1.3</w:t>
      </w:r>
    </w:p>
    <w:p>
      <w:r>
        <w:t>Die Beschwerdeführer haben am Verfahren vor der Vorinstanz teilgenommen, sind als direkte Adressaten vom angefochtenen Entscheid besonders berührt und haben ein schutzwürdiges Interesse an dessen Aufhebung oder Änderung. Sie sind mithin nach Art. 89 Abs. 1 lit. a BGG zur Beschwerde legitimiert.</w:t>
      </w:r>
    </w:p>
    <w:p>
      <w:r>
        <w:rPr>
          <w:b/>
        </w:rPr>
        <w:t>E. 1.4</w:t>
      </w:r>
    </w:p>
    <w:p>
      <w:r>
        <w:t>Mit der Beschwerde kann eine Rechtsverletzung nach Art. 95 und 96 BGG geltend gemacht werden. Die Anfechtung der Sachverhaltsfeststellung durch die Vorinstanz ist demgegenüber lediglich beschränkt möglich. Gemäss Art. 97 Abs. 1 BGG kann sie nur gerügt werden, wenn sie offensichtlich unrichtig ist oder auf einer Rechtsverletzung im Sinne von Art. 95 BGG beruht und wenn die Behebung des Mangels für den Ausgang des Verfahrens entscheidend sein kann. Wer Sachverhaltsfeststellungen der Vorinstanz anfechten will, muss substantiiert darlegen, inwiefern diese Voraussetzungen erfüllt sind. Andernfalls ist vom Sachverhalt des angefochtenen Entscheids auszugehen (vgl. BGE 133 II 249 E. 1.4.3 S. 254 f.). Gemäss dem Wortlaut greift die Beschränkung der Sachverhaltsüberprüfung, im Gegensatz zur früheren Regelung bei der Verwaltungsgerichtsbeschwerde (vgl. Art. 105 Abs. 2 OG ), auch dann, wenn keine richterliche Behörde als Vorinstanz entschieden hat (dazu etwa Heinz Aemisegger, Der Beschwerdegang in öffentlich-rechtlichen Angelegenheiten, in Ehrenzeller/Schweizer [Hrsg], Die Reorganisation der Bundesrechtspflege - Neuerungen und Auswirkungen auf die Praxis, St. Gallen 2006, S. 163; Peter Karlen, Das neue Bundesgerichtsgesetz, Basel/Genf/München 2006, S. 39, Fn. 150; Regina Kiener, Die Beschwerde in öffentlich-rechtlichen Angelegenheiten, in: Pierre Tschannen [Hrsg.], BTJP 2006, Neue Bundesrechtspflege, Bern 2007, S. 276 f.; Matthias Suter, Der neue Rechtsschutz in öffentlich-rechtlichen Angelegenheiten vor dem Bundesgericht, Diss. St. Gallen 2007, Bamberg 2007, S. 284). Mit Blick auf die Rechtsweggarantie wird vom Bundesgericht in der Literatur freilich teilweise verlangt, die Kognition durch Auslegung zu erweitern und den Sachverhalt frei zu überprüfen; solche Forderungen ergehen aber vornehmlich in Bezug auf Stimmrechtssachen, wo sich keine übergangsrechtlichen Fragen stellen, sondern wo es um eine bleibende Gesetzesinterpretation geht (vgl. etwa Michel Besson, Die Beschwerde in Stimmrechtssachen, in Ehrenzeller/Schweizer [Hrsg], Die Reorganisation der Bundesrechtspflege - Neuerungen und Auswirkungen auf die Praxis, St. Gallen 2006, S. 418; Kiener, a.a.O., S. 277, Fn. 278; Esther Tophinke, Bedeutung der Rechtsweggarantie für die Anpassung der kantonalen Gesetzgebung, in ZBl 107/2006, S. 106 f.). Konkret zur hier fraglichen übergangsrechtlichen Konstellation äussern sich bisher, soweit ersichtlich, im Grunde genommen nur zwei Autoren: Dabei wird einerseits vertreten, für die Befreiung vom Erfordernis der gerichtlichen Behörde rechtfertige sich keine Ausnahme (vgl. Hansjörg Seiler/Nicolas von Werdt/Andreas Güngerich, Bundesgerichtsgesetz [BGG], Bern 2007, Art. 97, N 6 ). Andererseits wird sinngemäss ausgeführt, der Gesetzgeber habe beim Erlass von Art. 130 Abs. 3 BGG nicht generell von der Geltung der Rechtsweggarantie während der zweijährigen Übergangsdauer absehen wollen, sondern darin die Gewährleistung der Rechtsweggarantie dem Bundesgericht übertragen, soweit die Kantone davon dispensiert würden; dies bedinge übergangsrechtlich eine vollständige Sachverhaltsüberprüfung durch das Bundesgericht (vgl. Giusep Nay, La loi fédérale dans le contexte de la réforme de la justice, in: Bénédict Foëx/Michel Hottelier/Nicolas Jeandin [Hrsg.], Les recours au Tribunal fédéral, Genf/Zürich/Basel 2007, S. 26 ff.; Ders., Das Bundesgerichtsgesetz im Kontext der Justizreform, in: Breitenmoser/Ehrenzeller/Sassòli/Stoffel/Wagner Pfeifer [Hrsg.], Liber amicorum Luzius Wildhaber, Zürich/St. Gallen 2007, 1474 ff.). Es erscheint allerdings fraglich, wie es sich in Konstellationen verhält, in denen das Bundesgericht den Sachverhalt schon bisher nur beschränkt überprüfte, insbesondere weil lediglich die staatsrechtliche Beschwerde und nicht die Verwaltungsgerichtsbeschwerde zulässig war, wie es im vorliegenden Fall zutreffen dürfte. Führt hier das grundsätzliche Inkrafttreten von Art. 29a BV zu einer vollständigen gerichtlichen Sachverhaltskontrolle, die vom Bundesgericht wahrzunehmen ist, wenn der Kanton sie gestützt auf Art. 130 Abs. 3 BGG noch nicht gewährleistet? Oder bleibt es wegen des übergangsrechtlichen Dispenses vom innerkantonalen Gerichtszugang bei einer lediglich beschränkten Sachverhaltsüberprüfung? Wie es sich damit verhält, kann indessen offen bleiben. Ob das Bundesgericht den Sachverhalt frei oder nur beschränkt überprüft, hat nämlich keine Auswirkungen auf den Ausgang des vorliegenden Verfahrens.</w:t>
      </w:r>
    </w:p>
    <w:p>
      <w:r>
        <w:rPr>
          <w:b/>
        </w:rPr>
        <w:t>E. 1.5</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w:t>
      </w:r>
    </w:p>
    <w:p>
      <w:r>
        <w:rPr>
          <w:b/>
        </w:rPr>
        <w:t>E. 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OG (vgl. dazu BGE 130 I 258 E. 1.3 S. 261 f. ; 129 I 113 E. 2.1 S. 120) weiterzuführen ( BGE 133 II 249 E. 1.4.2 S. 254; vgl. auch BBl 2001 S. 4344).</w:t>
      </w:r>
    </w:p>
    <w:p>
      <w:r>
        <w:rPr>
          <w:b/>
        </w:rPr>
        <w:t>E. 2.1</w:t>
      </w:r>
    </w:p>
    <w:p>
      <w:r>
        <w:t>Die Beschwerdeführer rügen die Verletzung allgemeiner Verfahrensgarantien gemäss Art. 29 BV und damit von Bundes(verfassungs)recht nach Art. 95 lit. a BGG . Dabei machen sie geltend, der angefochtene Entscheid verletze die verfassungsrechtlichen Ausstandsregeln.</w:t>
      </w:r>
    </w:p>
    <w:p>
      <w:r>
        <w:rPr>
          <w:b/>
        </w:rPr>
        <w:t>E. 2.2</w:t>
      </w:r>
    </w:p>
    <w:p>
      <w:r>
        <w:t>Im vorliegenden Fall handelt es sich bei der Vorinstanz nicht um eine richterliche Behörde. Wann Mitglieder einer Administrativbehörde in Ausstand zu treten haben, bestimmt sich ausschliesslich nach dem kantonalen Verfahrensrecht und nach den aus Art. 29 BV (und nicht Art. 30 BV ) herzuleitenden Prinzipien ( BGE 119 Ia 13 E. 3a S. 16; 107 Ia 135 E. 2a S. 137; jeweils noch zu Art. 4 BV ; vgl. ebenfalls BGE 132 II 485 E. 4.2 S. 496). Der Natur der Sache nach gelten für die Exekutive jedoch nicht die gleichen Garantien wie für die Justiz (Urteil des Bundesgerichts 2P.106/1999 vom 18. Juni 1999, E. 4a). Die Beschwerdeführer berufen sich zwar auch auf das kantonale Verwaltungsverfahrensrecht, legen aber nicht dar, inwiefern dieses weitergehende Garantien gewährt als das Bundesverfassungsrecht. Zu prüfen ist daher nur, ob der angefochtene Entscheid vor Art. 29 BV standhält.</w:t>
      </w:r>
    </w:p>
    <w:p>
      <w:r>
        <w:rPr>
          <w:b/>
        </w:rPr>
        <w:t>E. 2.3</w:t>
      </w:r>
    </w:p>
    <w:p>
      <w:r>
        <w:t>Die Beschwerdeführer hatten im kantonalen Verfahren verlangt, dass ihr Rekurs wegen möglicher Befangenheit an ein anderes als das angerufene Finanzdepartement zu überweisen sei, weil an der Einspracheverhandlung vor dem Stadtrat Amriswil ein Vertreter der dem Finanzdepartement unterstellten kantonalen Steuerverwaltung (Z.________) anwesend gewesen sei. Der Rekurs wurde in der Folge vom Finanzdepartement zuständigkeitshalber an die kantonale Steuerverwaltung überwiesen, weil der Rechtsmittelweg aufgrund einer am 1. Januar 2001 in Kraft getretenen Gesetzesnovelle nicht mehr ans Departement, sondern an die Steuerverwaltung führte. Dies ist an sich nicht strittig. Die Beschwerdeführer hielten daraufhin (erst recht) an ihrem Ausstandsbegehren fest, wurde ihr Rekurs nunmehr doch direkt durch diejenige Verwaltungseinheit behandelt, bei der Z.________ arbeitete. Die kantonale Steuerverwaltung verwarf jedoch den Einwand und hielt im Wesentlichen fest, Ausstandsbegehren könnten sich nur gegen Personen und nicht gegen ganze Behörden richten; da weder ein Mitglied der Steuerverwaltung noch Z.________ befangen sei, liege kein Ausstandsgrund vor. Diese Argumentation wird von den Beschwerdeführern vor Bundesgericht grundsätzlich nicht in Frage gestellt. Hingegen machen sie nunmehr geltend, die erstinstanzliche Behörde, d.h. der Stadtrat Amriswil, sei wegen der Anwesenheit von Z.________ unrichtig besetzt gewesen, weil damit ein Mitarbeiter der Rekursinstanz beim Einspracheentscheid mitgewirkt habe.</w:t>
      </w:r>
    </w:p>
    <w:p>
      <w:r>
        <w:rPr>
          <w:b/>
        </w:rPr>
        <w:t>E. 2.4</w:t>
      </w:r>
    </w:p>
    <w:p>
      <w:r>
        <w:t>Diese Rüge ist neu. Ob das Bundesgerichtsgesetz derartige neuen Rügen zulässt, kann hier offen bleiben. Nach der bundesgerichtlichen Rechtsprechung wird nämlich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132 II 485 E. 4.3 S. 496 f., mit Hinweisen).</w:t>
      </w:r>
    </w:p>
    <w:p>
      <w:r>
        <w:rPr>
          <w:b/>
        </w:rPr>
        <w:t>E. 2.5</w:t>
      </w:r>
    </w:p>
    <w:p>
      <w:r>
        <w:t>Die Vorinstanz hat im angefochtenen Entscheid festgestellt, dass bei der Einspracheverhandlung sämtliche anwesenden Personen mit Namen und Funktion vorgestellt worden seien. Dabei sei ausdrücklich auf die Anwesenheit eines Vertreters der kantonalen Steuerverwaltung hingewiesen und dazu ausgeführt worden, dass dieser keinen Einfluss auf die Entscheidfindung ausüben, jedoch die Verhandlung protokollieren werde. In der Folge habe sich das dann jedoch als unnötig erwiesen, weil das Protokoll von einer anderen Person aufgenommen worden sei. Die Beschwerdeführer vertreten zwar einen anderen Standpunkt und sind insbesondere der Auffassung, die Funktion von Z.________ sei ihnen nicht vorweg erläutert worden. Damit bestreiten sie die entsprechende Sachverhaltsfeststellung der Vorinstanz. Mit der blossen Bestreitung bzw. mit der Wiedergabe des eigenen, davon abweichenden Standpunktes ist jedoch nicht dargetan, dass die tatsächlichen Feststellungen der Vorinstanz unrichtig sind. Die massgeblichen Feststellungen der Vorinstanz entsprechen vielmehr den inhaltlich übereinstimmenden und vor allen Instanzen einheitlich vorgetragenen Darlegungen sämtlicher Behördenvertreter. Ein Widerspruch zu den Akten besteht nicht, und auch sonstige Unzulänglichkeiten sind nicht ersichtlich. Damit sind die tatsächlichen Feststellungen der Vorinstanz - auch bei einer allfälligen freien Überprüfungen des Sachverhalts (dazu E. 1.4) - nicht zu beanstanden.</w:t>
      </w:r>
    </w:p>
    <w:p>
      <w:r>
        <w:rPr>
          <w:b/>
        </w:rPr>
        <w:t>E. 2.6</w:t>
      </w:r>
    </w:p>
    <w:p>
      <w:r>
        <w:t>Die Beschwerdeführer hätten somit, wenn sie mit der Anwesenheit von Z.________ an der Verhandlung vor dem Stadtrat Amriswil nicht einverstanden waren bzw. befürchteten, dieser könnte in unzulässiger Weise den Ausgang des Verfahrens beeinflussen, ihre Einwände bereits damals sofort erheben müssen. Die entsprechende Rüge wurde nicht einmal im kantonalen Rekursverfahren so vorgebracht. Zwar haben die Beschwerdeführer aus dem gleichen Grund ein Ausstandsbegehren gegen das Departement bzw. später die kantonale Steuerverwaltung erhoben. Dabei handelt es sich aber nicht um dasselbe Ausstandsgesuch. Indessen ergibt sich daraus, dass der Sachzusammenhang für die bereits in der Verhandlung vor dem Stadtrat Amriswil anwaltlich vertretenen Beschwerdeführer klar erkennbar war. Daran ändert nichts, dass nachträglich eine andere Behörde für den Rekurs zuständig war als ursprünglich erwartet; abgesehen davon war die entsprechende Revision des kantonalen Steuergesetzes seit dem 1. Januar 2001 in Kraft, weshalb die fachkundig vertretenen Beschwerdeführer trotz allfälliger intertemporalrechtlicher Unklarheiten damit rechnen mussten, dass für ihren Rekurs direkt die kantonale Steuerverwaltung zuständig sein würde. So oder so führten sie ihr ursprüngliches Ausstandsbegehren immer auf die Person von Z.________ zurück, weshalb es ihnen ohne weiteres zumutbar gewesen wäre, bereits von Beginn an dessen Mitwirkung an der Verhandlung vor dem Stadtrat Amriswil in Frage zu stellen. Die entsprechende, nunmehr nachträglich erhobene Rüge, dadurch sei Art. 29 BV verletzt worden, erweist sich somit als verspätet.</w:t>
      </w:r>
    </w:p>
    <w:p>
      <w:r>
        <w:rPr>
          <w:b/>
        </w:rPr>
        <w:t>E. 2.7</w:t>
      </w:r>
    </w:p>
    <w:p>
      <w:r>
        <w:t>Damit braucht nicht geprüft zu werden, ob die Teilnahme eines Mitarbeiters der kantonalen Steuerverwaltung an der betreffenden Verhandlung gegen Art. 29 BV verstossen hätte. Gemessen an den dafür geltenden Grundsätzen (vgl. E. 2.2) erscheint dies allerdings fraglich, um so mehr, als Z.________ gar nicht Mitglied des entscheidenden Stadtrates Amriswil ist, selbst kein Protokoll aufgenommen hat und offenbar lediglich als Beobachter anwesend war. Im Übrigen ist auch der Rekursentscheid vom Abteilungsleiter der Rechtsabteilung der Steuerverwaltung und nicht von Z.________ unterzeichnet worden, wobei allerdings nicht bekannt ist, ob dieser bei der Ausarbeitung mitgewirkt hat.</w:t>
      </w:r>
    </w:p>
    <w:p>
      <w:r>
        <w:rPr>
          <w:b/>
        </w:rPr>
        <w:t>E. 3.1</w:t>
      </w:r>
    </w:p>
    <w:p>
      <w:r>
        <w:t>In der Sache beruht der streitige Verzugszins ausschliesslich auf kantonalem Recht. Dessen Verletzung kann auch nach dem Bundesgerichtsgesetz nicht direkt geltend gemacht werden (vgl. 95 BGG e contrario). Möglich ist insoweit einzig die Anrufung des Willkürverbots gemäss Art. 9 BV . Der vorliegenden Beschwerde fehlt es aber an einer entsprechenden Rüge, weshalb darauf insofern nicht eingetreten werden kann (vgl. E. 1.6).</w:t>
      </w:r>
    </w:p>
    <w:p>
      <w:r>
        <w:rPr>
          <w:b/>
        </w:rPr>
        <w:t>E. 3.2</w:t>
      </w:r>
    </w:p>
    <w:p>
      <w:r>
        <w:t>Allerdings machen die Beschwerdeführer unter Berufung auf Art. 97 BGG insoweit eine unrichtige Feststellung des Sachverhalts geltend, als im angefochtenen Entscheid davon ausgegangen werde, die Beschwerdeführer hätten die Verzögerungen im Verfahren durch ihr eigenes Verhalten selbst zu verantworten. Soweit die Vorinstanz daraus Schlussfolgerungen hinsichtlich der Verzugszinspflicht zieht, handelt es sich jedoch teilweise um eine rechtliche Würdigung, auf die mangels rechtsgenüglicher Rüge nicht einzutreten ist. Im Übrigen enthält das Argument aber auch eine tatsächliche Komponente, indem die Vorinstanz vorweg feststellen musste, wie sich die Beschwerdeführer verhalten haben. Wieweit dies unter Berufung auf Art. 97 BGG selbständig gerügt werden kann, kann offen bleiben. So oder so ergibt sich aus dem angefochtenen Entscheid, dass die Vorinstanz lediglich den Vorwurf der Beschwerdeführer entkräften wollte, die genaue Festsetzung der definitiven Steuerforderungen sei von den Steuerbehörden ungebührlich in die Länge gezogen worden. Die Feststellung, die Dauer des Verfahrens sei hauptsächlich dem Verhalten der Beschwerdeführer zuzuschreiben, ist unter diesem Gesichtspunkt jedenfalls nicht zu beanstanden. Angesichts der von den Beschwerdeführern vorgenommenen Prozesshandlungen geht die Dauer tatsächlich auch auf ihr eigenes Vorgehen zurück, ohne dass damit eine Wertung verbunden zu sein braucht. Die entsprechenden tatsächlichen Feststellungen der Vorinstanz sind demnach - selbst bei einer freien Überprüfung des Sachverhaltes - ebenfalls nicht zu beanstanden.</w:t>
      </w:r>
    </w:p>
    <w:p>
      <w:r>
        <w:rPr>
          <w:b/>
        </w:rPr>
        <w:t>E. 4.1</w:t>
      </w:r>
    </w:p>
    <w:p>
      <w:r>
        <w:t>Die Beschwerde erweist sich als unbegründet und ist abzuweisen, soweit darauf eingetreten werden kann.</w:t>
      </w:r>
    </w:p>
    <w:p>
      <w:r>
        <w:rPr>
          <w:b/>
        </w:rPr>
        <w:t>E. 4.2</w:t>
      </w:r>
    </w:p>
    <w:p>
      <w:r>
        <w:t>Bei diesem Verfahrensausgang werden die unterliegenden Beschwerdeführer unter Solidarhaft kostenpflichtig ( Art. 66 Abs. 1 und 5 BGG ).</w:t>
      </w:r>
    </w:p>
    <w:p>
      <w:r>
        <w:rPr>
          <w:b/>
        </w:rPr>
        <w:t>E. 4.3</w:t>
      </w:r>
    </w:p>
    <w:p>
      <w:r>
        <w:t>Der anwaltlich vertretene Stadtrat Amriswil beantragt die Zusprechung einer Parteientschädigung. Gemäss Art. 68 Abs. 3 BGG wird Gemeinden in der Regel keine Parteientschädigung zugesprochen, wenn sie in ihrem amtlichen Wirkungskreis obsiegen. Im Unterschied zu Art. 66 Abs. 4 BGG , worin die Verlegung der Gerichtskosten geregelt wird, enthält Art. 68 Abs. 3 BGG keine Sonderregel für den (hier grundsätzlich vorliegenden) Fall, dass Vermögensinteressen im Spiel stehen (vgl. Seiler/von Werdt/Güngerich, a.a.O., Art. 68, N 25 ). Damit fragt sich einzig, ob eine Ausnahme vom grundsätzlichen ("in der Regel") Ausschluss einer Parteientschädigung greift. Die unter altem Recht entwickelte Praxis, dass eine Gemeinde in der öffentlichen Rechtspflege vor dem Bundesgericht dann Anspruch auf eine Parteientschädigung hat, wenn es sich um eine kleine Gemeinde ohne eigenen Rechtsdienst handelt, die auf die Hilfe eines Anwalts angewiesen ist (vgl. BGE 125 I 182 E. 7 S. 202), ist auch unter der Geltung des Bundesgerichtsgesetzes weiterzuführen. Amriswil hat jedoch mehr als 11'000 Einwohner und ist damit keine kleine Gemeinde mit Anspruch auf eine Parteientschädigung (vgl. Seiler/von Werdt/Güngerich, a.a.O., Art. 68, N 29 ). Eine solche kann daher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