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2C_109/2012 vom 12. Dezember 2012</w:t>
      </w:r>
    </w:p>
    <w:p>
      <w:r>
        <w:t>Bundesgericht, 2012-12-12, DE</w:t>
      </w:r>
    </w:p>
    <w:p>
      <w:r>
        <w:rPr>
          <w:b/>
        </w:rPr>
        <w:t xml:space="preserve">Quelle: </w:t>
      </w:r>
      <w:r>
        <w:t>https://mcp.opencaselaw.ch/entscheid/bger_2C_109_2012</w:t>
      </w:r>
    </w:p>
    <w:p>
      <w:r>
        <w:t>FR: TF 2C_109/2012 du 12 décembre 2012</w:t>
      </w:r>
    </w:p>
    <w:p>
      <w:r>
        <w:t>IT: TF 2C_109/2012 del 12 dicembre 2012</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und Abs. 2 BGG ; BGE 135 II 1 E. 1.2.1 S. 4; Urteil 2C_401/2012 vom 18. September 2012 E. 1.3; 2C_478/2010 vom 17. November 2010 E. 2, nicht publ. in: BGE 137 II 10 ), und der Beschwerdeführer ist zur Ergreifung dieses Rechtsmittels befugt ( Art. 89 BGG ). Der Beschwerdeführer kann sich grundsätzlich gestützt auf das Familienleben auch auf Art. 8 EMRK berufen.</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393 E. 7.1 S. 398, 462 E. 2.4 S. 466). Auf rein appellatorische Kritik an der Sachverhaltsermittlung oder der Beweiswürdigung tritt das Bundesgericht nicht ein ( BGE 136 II 101 E. 3 S. 104 f.).</w:t>
      </w:r>
    </w:p>
    <w:p>
      <w:r>
        <w:t>Neue Tatsachen und Beweismittel dürfen nur soweit vorgebracht werden, als erst der Entscheid der Vorinstanz dazu Anlass gibt ( Art. 99 Abs. 1 BGG ; vgl. BGE 135 I 143 E. 1.5 S. 146 f.).</w:t>
      </w:r>
    </w:p>
    <w:p>
      <w:r>
        <w:t>Das Schreiben des Arztes Johannes Berger vom 30. Dezember 2011 an den Rechtsvertreter des Beschwerdeführers ist als echtes Novum für die Beurteilung des Bewilligungswiderrufs unbeachtlich; es vermöchte allerdings am Ausgang des Verfahrens ohnehin nichts zu ändern.</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wobei es keine Rolle spielt, ob die Freiheitsstrafe bedingt, teilbedingt oder unbedingt ausgesprochen wurde (Urteil 2C_515/2009 vom 27. Januar 2010 E. 2.1).</w:t>
      </w:r>
    </w:p>
    <w:p>
      <w:r>
        <w:t>Ebenso ist ein Bewilligungswiderruf gemäss Art. 63 Abs. 1 lit. b und Art. 63 Abs. 2 AuG möglich, wenn der Ausländer in schwerwiegender Weise gegen die öffentliche Sicherheit und Ordnung verstossen oder diese gefährdet hat (vgl. BGE 137 II 297 E. 3 S. 302 ff. mit Hinweisen).</w:t>
      </w:r>
    </w:p>
    <w:p>
      <w:r>
        <w:rPr>
          <w:b/>
        </w:rPr>
        <w:t>E. 2.2</w:t>
      </w:r>
    </w:p>
    <w:p>
      <w:r>
        <w:t>Der Beschwerdeführer wurde wiederholt straffällig und zuletzt zu einer Freiheitsstrafe von drei Jahren verurteilt, womit er unbestrittenermassen einen Widerrufsgrund gemäss Art. 62 lit. b AuG gesetzt hat. Ob das Verhalten des Beschwerdeführers im Zusammenhang mit der schlechten finanziellen Situation der Familie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S. 381). Es erübrigt sich daher, auf die diesbezüglichen Vorbringen des Beschwerdeführers einzugehen.</w:t>
      </w:r>
    </w:p>
    <w:p>
      <w:r>
        <w:rPr>
          <w:b/>
        </w:rPr>
        <w:t>E. 3.1</w:t>
      </w:r>
    </w:p>
    <w:p>
      <w:r>
        <w:t>Wenn ein Ausländer durch sein Verhalten einen Widerrufsgrund gesetzt hat, bleibt zu prüfen, ob diese Massnahme auch als verhältnismässig erscheint ( BGE 135 II 377 E. 4.3 f. S. 381 ff.; vgl. auch Art. 96 Abs. 1 AuG). Dabei sind namentlich die Schwere des Verschuldens des Betroffenen, der Grad der Integration bzw. die Dauer der bisherigen Anwesenheit sowie die ihm und seiner Familie drohenden Nachteile zu berücksichtigen ( BGE 135 II 377 E. 4.3 S. 381). Bei wiederholter bzw. schwerer Straffälligkeit, insbesondere bei Gewalt- und Betäubungsmitteldelikten, ist ein Widerruf der Niederlassungsbewilligung selbst dann nicht ausgeschlossen, wenn der Ausländer hier geboren ist und sein ganzes bisheriges Leben im Land verbracht hat (vgl. Urteil 2C_562/2011 vom 21. November 2011 E. 3.3; BGE 130 II 176 E. 4.4.2 S. 190 mit Hinweisen).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w:t>
      </w:r>
    </w:p>
    <w:p>
      <w:r>
        <w:rPr>
          <w:b/>
        </w:rPr>
        <w:t>E. 3.2</w:t>
      </w:r>
    </w:p>
    <w:p>
      <w:r>
        <w:t>Der angefochtene Entscheid gibt die bundesgerichtliche Praxis zum Widerruf der Niederlassungsbewilligung zutreffend wieder und die Vorinstanz, auf deren Ausführungen ergänzend verwiesen werden kann, hat die auf dem Spiel stehenden Interessen im Rahmen von Art. 63 Abs. 2 i.V.m. Art. 62 lit. b AuG bzw. Art. 8 Ziff. 2 EMRK geprüft und differenziert gegeneinander abgewogen.</w:t>
      </w:r>
    </w:p>
    <w:p>
      <w:r>
        <w:rPr>
          <w:b/>
        </w:rPr>
        <w:t>E. 3.2.1</w:t>
      </w:r>
    </w:p>
    <w:p>
      <w:r>
        <w:t>Ausgangspunkt und Massstab sowohl für die Schwere des Verschuldens als auch für die fremdenpolizeiliche Interessenabwägung ist hier die vom Strafrichter verhängte Strafe. Der Beschwerdeführer wurde zuletzt wegen Drogendelikten (im Zusammenhang mit Kokain und Ecstasy-Tabletten) und wegen versuchten In-Umlauf-Setzens falschen Geldes zu einer Freiheitsstrafe von drei Jahren verurteilt. Bereits vor dieser Verurteilung war der Beschwerdeführer in Österreich wegen Drogendelikten (unter anderem Verkauf von rund 4 1/2 kg Haschisch sowie rund 700g Kokain) zu einer Freiheitsstrafe verurteilt worden. Weder die ausländerrechtliche Verwarnung vom September 1999, noch die bedingte Strafe wegen Hehlerei, noch der Strafvollzug in Österreich vermochten ihn von erneuten Straftaten abzuhalten. Die Vorinstanz hat das Verschulden des Beschwerdeführers aus fremdenpolizeirechtlicher Sicht zutreffend als schwer erachtet. Vorliegend kann auch ein Rückfallrisiko nicht ausgeschlossen werden, zumal der Beschwerdeführer nicht berufstätig ist, er die Aufnahme einer Erwerbstätigkeit wegen psychischen Problemen nicht für möglich hält, die IV-Leistungen eingestellt wurden und auch die Ehefrau nicht über ein Einkommen verfügt. Dass der Beschwerdeführer seit dem Jahr 2008 nicht mehr straffällig geworden ist, vermag die diesbezüglichen Bedenken nicht auszuräumen, da sich der Beschwerdeführer seither grösstenteils in Haft befand.</w:t>
      </w:r>
    </w:p>
    <w:p>
      <w:r>
        <w:t>Die vorinstanzliche Beurteilung entspricht der Rechtsprechung des Bundesgerichts, das im Zusammenhang mit Drogenhandel - in Übereinstimmung mit der in Europa vorherrschenden Rechtsauffassung (vgl. BGE 129 II 215 E. 6 u. 7 S. 220 ff. und das EGMR-Urteil Arvelo Aponte gegen Niederlande vom 3. November 2011 [28770/05] § 58) - ausländerrechtlich eine strenge Praxis ( BGE 125 II 521 E. 4a/aa S. 527) verfolgt.</w:t>
      </w:r>
    </w:p>
    <w:p>
      <w:r>
        <w:rPr>
          <w:b/>
        </w:rPr>
        <w:t>E. 3.2.2</w:t>
      </w:r>
    </w:p>
    <w:p>
      <w:r>
        <w:t>An der Entfernung und Fernhaltung des Beschwerdeführers besteht somit ein erhebliches sicherheitspolizeiliches Interesse, das nur durch entsprechend gewichtige private Interessen aufgewogen werden könnte, d.h. wenn aussergewöhnlich schwerwiegende Umstände gegen eine Wegweisung sprechen würden. Die Vorinstanz hat ausführlich und umfassend geprüft, inwieweit der Beschwerdeführer solche besonderen Gründe für einen weiteren Verbleib in der Schweiz geltend machen kann. In Würdigung aller wesentlichen Kriterien (wie Anwesenheitsdauer in der Schweiz, familiäre Situation bzw. Beziehungsverhältnisse, Arbeits- und Ausbildungssituation, Integration, finanzielle Lage, Sprachkenntnisse, persönliches Umfeld) hat sie erkannt, insgesamt überwiege das öffentliche Interesse an der Entfernung des Beschwerdeführers. Diese verletze weder nationales Recht noch Art. 8 EMRK .</w:t>
      </w:r>
    </w:p>
    <w:p>
      <w:r>
        <w:rPr>
          <w:b/>
        </w:rPr>
        <w:t>E. 3.2.3</w:t>
      </w:r>
    </w:p>
    <w:p>
      <w:r>
        <w:t>Was der Beschwerdeführer dagegen vorbringt, ändert an dieser Beurteilung nichts. Angesichts der Schwere der begangenen Straftaten vermag dem Beschwerdeführer weder der Umstand zu helfen, dass er im Alter von 14 Jahren in die Schweiz einreiste, noch dass er seit 26 Jahren seinen Lebensmittelpunkt hier hat. Wie die Vorinstanz zutreffend darlegt, ist der Beschwerdeführer trotz langer Anwesenheitsdauer weder sozial noch beruflich in der Schweiz integriert. Er zeigt nicht auf, inwiefern ihm eine Rückkehr in die Türkei oder seine Integration dort nicht zumutbar wäre. Dass für ihn die Situation in der Türkei allenfalls weniger günstig wäre als in der Schweiz, ist nicht entscheidend. Eine psychiatrische Behandlung ist im Übrigen auch in der Türkei möglich.</w:t>
      </w:r>
    </w:p>
    <w:p>
      <w:r>
        <w:t>Die Würdigung der familiären Verhältnisse führt nicht zu einem anderen Ergebnis. Zwar würde eine Rückkehr in die Heimat die Familie, insbesondere das älteste Kind, hart treffen. Die Ehefrau sowie die Kinder verfügen aber über die Niederlassungsbewilligung und haben damit die Möglichkeit, in der Schweiz zu verbleiben. Wohl können familiäre Beziehungen dazu führen, dass von einer Entfernung eines straffällig gewordenen Ausländers abzusehen ist, wenn die Massnahme wegen der Unzumutbarkeit der Ausreise für die Familienangehörigen zu einer Trennung der Familiengemeinschaft führt. Die Art und Schwere der vorliegend begangenen Betäubungsmitteldelikte sowie das Verschulden des Beschwerdeführers lassen eine solche Rücksichtnahme indessen nicht zu. Das - wie dargelegt - erhebliche öffentliche Interesse an der Entfernung des Beschwerdeführers überwiegt sein privates Interesse sowie dasjenige seiner Angehörigen an seinem weiteren Verbleib in der Schweiz, selbst wenn die familiäre Beziehung deshalb nur noch unter erschwerten Bedingungen gelebt werden kann (vgl. BGE 129 II 215 E. 3.4 und 4.1 S. 218; zu der hier zwar nicht anwendbaren Zweijahresregel vgl. BGE 120 Ib 6 E. 4b S. 14, unter Hinweis auf BGE 110 Ib 201 ). Im Übrigen stammt die hier nicht besonders integrierte Ehefrau ebenfalls aus der Türkei, weshalb ihr wohl nicht geradezu unzumutbar sein dürfte, ihrem Ehemann in das gemeinsame Heimatland zu folgen, falls sie die Trennung der Familiengemeinschaft vermeiden möchte.</w:t>
      </w:r>
    </w:p>
    <w:p>
      <w:r>
        <w:rPr>
          <w:b/>
        </w:rPr>
        <w:t>E. 3.2.4</w:t>
      </w:r>
    </w:p>
    <w:p>
      <w:r>
        <w:t>Entgegen den Vorbringen in der Beschwerdeschrift steht der Entfernung des Beschwerdeführers unter diesen Umständen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135 I 143 E. 1.3.2 S. 146); im vorliegenden Fall ist aber ein Eingriff in das Recht auf Achtung des Privat- und Familienlebens gemäss Ziff. 2 dieser Bestimmung gerechtfertigt: Er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w:t>
      </w:r>
    </w:p>
    <w:p>
      <w:r>
        <w:rPr>
          <w:b/>
        </w:rPr>
        <w:t>E. 4.1</w:t>
      </w:r>
    </w:p>
    <w:p>
      <w:r>
        <w:t>Der Widerruf der Niederlassungsbewilligung des Beschwerdeführers erweist sich somit als bundesrechts- und konventionskonform. Dies führt zur Abweisung der Beschwerde.</w:t>
      </w:r>
    </w:p>
    <w:p>
      <w:r>
        <w:rPr>
          <w:b/>
        </w:rPr>
        <w:t>E. 4.2</w:t>
      </w:r>
    </w:p>
    <w:p>
      <w:r>
        <w:t>Dem Ausgang des Verfahrens entsprechend wird der Beschwerdeführer grundsätzlich kostenpflichtig (Art. 65 f. BGG). Er hat um Gewährung der unentgeltlichen Rechtspflege und Verbeiständung ersucht ( Art. 64 BGG ). Diesem Gesuch kann jedoch nicht entsprochen werden: Der Beschwerdeführer ist zwar bedürftig. Aufgrund der umfassenden, sorgfältigen Begründung des vorinstanzlichen Entscheids unter Berücksichtigung der einschlägigen bundesgerichtlichen Rechtsprechung und in Anbetracht des Umstands, dass es sich nicht um einen Grenzfall handelt, erscheint das Rechtsbegehren jedoch als aussichtslos. Wegen offensichtlicher Uneinbringlichkeit ist ausnahmsweise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