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109/2009 vom 11. Juni 2009</w:t>
      </w:r>
    </w:p>
    <w:p>
      <w:r>
        <w:t>Bundesgericht, 2009-06-11, FR</w:t>
      </w:r>
    </w:p>
    <w:p>
      <w:r>
        <w:rPr>
          <w:b/>
        </w:rPr>
        <w:t xml:space="preserve">Quelle: </w:t>
      </w:r>
      <w:r>
        <w:t>https://mcp.opencaselaw.ch/entscheid/bger_2C_109_2009</w:t>
      </w:r>
    </w:p>
    <w:p>
      <w:r>
        <w:t>FR: TF 2C 109/2009 du 11 juin 2009</w:t>
      </w:r>
    </w:p>
    <w:p>
      <w:r>
        <w:t>IT: TF 2C 109/2009 del 11 giugno 2009</w:t>
      </w:r>
    </w:p>
    <w:p>
      <w:pPr>
        <w:pStyle w:val="Heading2"/>
      </w:pPr>
      <w:r>
        <w:t>Regeste</w:t>
      </w:r>
    </w:p>
    <w:p>
      <w:r>
        <w:t>Prolongation d'une 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La procédure de non-renouvellement ayant été initiée avant le 1er janvier 2008, la présente affaire doit être examinée à la lumière de l'ancienne loi fédérale sur le séjour et l'établissement des étrangers (LSEE).</w:t>
      </w:r>
    </w:p>
    <w:p>
      <w:r>
        <w:rPr>
          <w:b/>
        </w:rPr>
        <w:t>E. 2</w:t>
      </w:r>
    </w:p>
    <w:p>
      <w:r>
        <w:t>Le Tribunal fédéral examine d'office sa compétence ( art. 29 al. 1 LTF ). Il contrôle librement la recevabilité des recours qui lui sont soumis ( ATF 135 III 1 consid. 1.1 p. 3). L'intéressé n'a pas indiqué expressément par quelle voie de recours il voulait procéder au Tribunal fédéral. Toutefois, cette imprécision ne saurait lui nuire si son mémoire peut être considéré comme recours remplissant les conditions de la voie de droit qui lui est ouverte (cf. ATF 133 I 300 consid. 1.2 p. 302 s.). Le présent recours est formé contre un arrêt rendu en dernière instance cantonale dans une cause de droit public; il convient donc d'examiner en premier lieu s'il est recevable comme recours en matière de droit public au sens des art. 82 ss LTF .</w:t>
      </w:r>
    </w:p>
    <w:p>
      <w:r>
        <w:rPr>
          <w:b/>
        </w:rPr>
        <w:t>E. 3</w:t>
      </w:r>
    </w:p>
    <w:p>
      <w:r>
        <w:t>Selon l'art. 83 lettre c ch. 2 LTF, le recours en matière de droit public est irrecevable contre les décisions en matière de droit des étrangers qui concernent une autorisation à laquelle ni le droit fédéral ni le droit international ne donnent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en matière de droit public est irrecevable, à moins que ne puisse être invoquée une disposition particulière du droit fédéral ou d'un traité accordant le droit à la délivrance d'une telle autorisation (cf. ATF 131 II 339 consid. 1 p. 342; 130 II 388 consid. 1.1 p. 389, 281 consid. 2.1 p. 284 et les arrêts cités). La restriction de l' art. 83 LTF vaut également pour les décisions de nature procédurale, notamment une décision d'irrecevabilité telle celle attaquée en l'espèce (arrêt 2C_197/2009 du 28 mai 2009, consid. 6). En vertu de l' art. 17 al. 2 LSEE , le conjoint d'un étranger titulaire d'une autorisation d'établissement a droit à une autorisation de séjour aussi longtemps que les époux vivent ensemble, ce dont le recourant ne peut se prévaloir, puisque la vie commune a pris fin le 4 avril 2006, soit trois semaines après le mariage qui a eu lieu le 14 mars 2006. Pour le surplus, l'art. 50 al. 2 LEtr cité par le recourant n'est pas applicable en l'espèce (cf. consid. 1 ci-dessus). Le recours en matière de droit public est par conséquent irrecevable. Seule la voie du recours constitutionnel subsidiaire peut encore être envisagée.</w:t>
      </w:r>
    </w:p>
    <w:p>
      <w:r>
        <w:rPr>
          <w:b/>
        </w:rPr>
        <w:t>E. 4</w:t>
      </w:r>
    </w:p>
    <w:p>
      <w:r>
        <w:t>Le recours constitutionnel subsidiaire n'est ouvert que pour se plaindre de la violation des droits constitutionnels ( art. 116 LTF ), qu'il appartient au recourant d'invoquer et de motiver sous peine d'irrecevabilité (cf. art. 106 al. 2 LTF applicable par renvoi de l' art. 117 LTF ). Le recourant doit en outre avoir un intérêt juridique à l'annulation ou à la modification de la décision attaquée ( art. 115 let. b LTF ). En l'espèce, le recourant ne précise nullement quels droits constitutionnels le cas échéant, le Tribunal cantonal aurait mal interprété ou mal appliqué. Il n'évoque nullement l'interdiction de l'arbitraire ni d'autres droits constitutionnels qui auraient éventuellement été violés. Il n'expose par conséquent pas non plus en quoi un tel droit aurait peut-être été violé.</w:t>
      </w:r>
    </w:p>
    <w:p>
      <w:r>
        <w:rPr>
          <w:b/>
        </w:rPr>
        <w:t>E. 5</w:t>
      </w:r>
    </w:p>
    <w:p>
      <w:r>
        <w:t>Les considérants qui précèdent conduisent à l'irrecevabilité du recours qu'il soit considéré comme recours en matière de droit public ou comme recours constitutionnel subsidiaire.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