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2C_1097/2015 vom 29. März 2017</w:t>
      </w:r>
    </w:p>
    <w:p>
      <w:r>
        <w:t>Bundesgericht, 2017-03-29, FR</w:t>
      </w:r>
    </w:p>
    <w:p>
      <w:r>
        <w:rPr>
          <w:b/>
        </w:rPr>
        <w:t xml:space="preserve">Quelle: </w:t>
      </w:r>
      <w:r>
        <w:t>https://mcp.opencaselaw.ch/entscheid/bger_2C_1097_2015</w:t>
      </w:r>
    </w:p>
    <w:p>
      <w:r>
        <w:t>FR: TF 2C_1097/2015 du 29 mars 2017</w:t>
      </w:r>
    </w:p>
    <w:p>
      <w:r>
        <w:t>IT: TF 2C_1097/2015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concerne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"actes punissables au regard du droit suisse"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l'intimé.</w:t>
      </w:r>
    </w:p>
    <w:p>
      <w:r>
        <w:t>Il convient dès lors de renvoyer le dossier de la cause aux juges précédents pour nouvelle décision ( art. 107 al. 2 LTF ; cf. arrêt 2C_988/2015 du 29 mars 2017 consid. 5.2).</w:t>
      </w:r>
    </w:p>
    <w:p>
      <w:r>
        <w:rPr>
          <w:b/>
        </w:rPr>
        <w:t>E. 5</w:t>
      </w:r>
    </w:p>
    <w:p>
      <w:r>
        <w:t>Au vu de ce qui précède, le recours est admis. Les chiffres 2 à 5 du dispositif sont annulés et la cause est renvoyée au Tribunal administratif fédéral pour nouvelle décision dans le sens des considérants. Le chiffre 1 du dispositif de l'arrêt attaqué est confirmé dans la mesure où il n'est pas devenu sans objet.</w:t>
      </w:r>
    </w:p>
    <w:p>
      <w:r>
        <w:t>Compte tenu de l'issue du litige, les frais seront mis à la charge de l'intimé,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