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1095/2016 vom 5. Dezember 2016</w:t>
      </w:r>
    </w:p>
    <w:p>
      <w:r>
        <w:t>Bundesgericht, 2016-12-05, DE</w:t>
      </w:r>
    </w:p>
    <w:p>
      <w:r>
        <w:rPr>
          <w:b/>
        </w:rPr>
        <w:t xml:space="preserve">Quelle: </w:t>
      </w:r>
      <w:r>
        <w:t>https://mcp.opencaselaw.ch/entscheid/bger_2C_1095_2016</w:t>
      </w:r>
    </w:p>
    <w:p>
      <w:r>
        <w:t>FR: TF 2C 1095/2016 du 5 décembre 2016</w:t>
      </w:r>
    </w:p>
    <w:p>
      <w:r>
        <w:t>IT: TF 2C 1095/2016 del 5 dicembre 2016</w:t>
      </w:r>
    </w:p>
    <w:p>
      <w:pPr>
        <w:pStyle w:val="Heading2"/>
      </w:pPr>
      <w:r>
        <w:t>Regeste</w:t>
      </w:r>
    </w:p>
    <w:p>
      <w:r>
        <w:t>Niederlassungsbewilligung | Bürgerrecht und Ausländerrecht</w:t>
      </w:r>
    </w:p>
    <w:p>
      <w:pPr>
        <w:pStyle w:val="Heading2"/>
      </w:pPr>
      <w:r>
        <w:t>Erwägungen</w:t>
      </w:r>
    </w:p>
    <w:p>
      <w:r>
        <w:rPr>
          <w:b/>
        </w:rPr>
        <w:t>E. 1</w:t>
      </w:r>
    </w:p>
    <w:p>
      <w:r>
        <w:t>A.________, 1967 geborener Staatsangehöriger Kosovos, heiratete am 22. Oktober 2007 in seiner Heimat eine 1945 geborene Schweizerin. Nach illegaler Einreise im Oktober 2009 wurde ihm im April 2010 eine Aufenthaltsbewilligung und am 17. September 2014 die Niederlassungsbewilligung erteilt. Unmittelbar danach verliess er die eheliche Wohnung. Die Ehe wurde am 16. Januar 2015 geschieden. Drei Monate später erlag die Ehefrau ihrem 2013 aufgetretenen Krebsleiden. Am 28. September 2015 widerrief das Migrationsamt des Kantons Zürich die Niederlassungsbewilligung von A.________ und wies ihn unter Ansetzen einer Ausreisefrist aus der Schweiz weg. Der Rekurs an die Sicherheitsdirektion des Kantons Zürich blieb erfolglos, und mit Urteil vom 25. Oktober 2016 wies das Verwaltungsgericht des Kantons Zürich die gegen deren Rekursentscheid vom 9. August 2016 erhobene Beschwerde ab, unter Ansetzung einer Ausreisefrist auf den 30. November 2016. Mit Beschwerde in öffentlich-rechtlichen Angelegenheiten vom 30. November 2016 beantragt A.________ dem Bundesgericht, das Urteil des Verwaltungsgerichts aufzuheben und die Niederlassungsbewilligung nicht zu widerrufen.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 Was namentlich die Beweiswürdigung der Vorinstanz betrifft, ist aufzuzeigen, inwiefern diese willkürlich sei; appellatorische Kritik ist nicht zu hören ( BGE 140 III 264 E. 2.3 S. 266).</w:t>
      </w:r>
    </w:p>
    <w:p>
      <w:r>
        <w:rPr>
          <w:b/>
        </w:rPr>
        <w:t>E. 2.2</w:t>
      </w:r>
    </w:p>
    <w:p>
      <w:r>
        <w:t>Der Widerruf der Niederlassungsbewilligung des Beschwerdeführers stützt sich auf Art. 63 Abs. 1 lit. a in Verbindung mit Art. 62 lit. a AuG. Danach kann die Niederlassungsbewilligung widerrufen werden, wenn der Ausländer oder sein Vertreter im Bewilligungsverfahren falsche Angaben macht oder wesentliche Tatsachen verschwiegen hat, wobei dieser Widerrufsgrund im Falle einer Scheinehe zur Anwendung kommt. Das Verwaltungsgericht bestätigt das von seinen Vorinstanzen angenommene Vorliegen einer Scheinehe und damit den Widerruf der Bewilligung. Es kommt zu diesem Schluss gestützt auf zahlreiche Indizien, namentlich Aussagen des Beschwerdeführers, seiner verstorbenen Ex-Ehefrau und von Drittpersonen sowie weitere äussere Umstände. In E. 2 erläutert es, warum es die vom Beschwerdeführer beantragte Anhörung von Zeugen (vor seinen Vorinstanzen oder vor dem Verwaltungsgericht selber) als für den Ausgang des Widerrufsverfahrens unerheblich erachtet. Was der Beschwerdeführer vorbringt, genügt, namentlich im Lichte der Indizienwürdigung in E. 3.2 des angefochtenen Urteils, worauf er nicht eingeht, auch nicht ansatzweise, um Willkür der antizipierten Beweiswürdigung, auf welcher die Ablehnung der Zeugenanhörung beruht, und mithin eine Verletzung des rechtlichen Gehörs darzutun. Weitere Rügen zur Sachverhaltsermittlung oder Rechtsanwendung werden nicht erhoben.</w:t>
      </w:r>
    </w:p>
    <w:p>
      <w:r>
        <w:rPr>
          <w:b/>
        </w:rPr>
        <w:t>E. 2.3</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2.4</w:t>
      </w:r>
    </w:p>
    <w:p>
      <w:r>
        <w:t>Die Gerichtskosten ( Art. 65 BGG ) sind entsprechend dem Verfahrensausgang dem Beschwerdeführer aufzuerlegen (Art. 66 Abs.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