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1095/2014 vom 17. Juli 2015</w:t>
      </w:r>
    </w:p>
    <w:p>
      <w:r>
        <w:t>Bundesgericht, 2015-07-17, DE</w:t>
      </w:r>
    </w:p>
    <w:p>
      <w:r>
        <w:rPr>
          <w:b/>
        </w:rPr>
        <w:t xml:space="preserve">Quelle: </w:t>
      </w:r>
      <w:r>
        <w:t>https://mcp.opencaselaw.ch/entscheid/bger_2C_1095_2014</w:t>
      </w:r>
    </w:p>
    <w:p>
      <w:r>
        <w:t>FR: TF 2C 1095/2014 du 17 juillet 2015</w:t>
      </w:r>
    </w:p>
    <w:p>
      <w:r>
        <w:t>IT: TF 2C 1095/2014 del 17 luglio 2015</w:t>
      </w:r>
    </w:p>
    <w:p>
      <w:pPr>
        <w:pStyle w:val="Heading2"/>
      </w:pPr>
      <w:r>
        <w:t>Regeste</w:t>
      </w:r>
    </w:p>
    <w:p>
      <w:r>
        <w:t>Erlöschen der Niederlassungsbewilligung, Verweigerung der Aufenthaltsbewilligung und Wegweisung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136 II 177 E. 1.1 S. 179 f., 497 E. 3.3 S. 500 f.). Zur Begründung seines Anspruchs beruft sich der Beschwerdeführer in erster Linie auf die Beziehung zu seinen hier anwesenheitsberechtigten Kindern und macht einen Aufenthaltsanspruch nach Art. 8 EMRK geltend. Dies reicht für das Eintreten aus. Ob die Bewilligungsvoraussetzungen tatsächlich gegeben sind, bildet praxisgemäss Gegenstand der materiellen Beurteilung ( BGE 139 I 330 E. 1.1 S. 332; 136 II 177 E. 1.1 S. 179 f.; Urteil 2C_375/2014 vom 4. Februar 2015 E. 1.1 mit Hinweisen).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1.3</w:t>
      </w:r>
    </w:p>
    <w:p>
      <w:r>
        <w:t>Soweit der Beschwerdeführer eine unrichtige Anwendung von Art. 30 AuG (SR 142.20) durch die kantonalen Behörden beanstandet, ist die Beschwerde in öffentlich-rechtlichen Angelegenheiten ausgeschlossen (vgl. Art. 83 lit. c Ziff. 5 BGG ; in BGE 140 II 289 nicht publizierte E. 1.2 des Urteils 2C_873/2013 vom 25. März 2014).</w:t>
      </w:r>
    </w:p>
    <w:p>
      <w:r>
        <w:rPr>
          <w:b/>
        </w:rPr>
        <w:t>E. 1.4</w:t>
      </w:r>
    </w:p>
    <w:p>
      <w:r>
        <w:t>Dasselbe gilt bezüglich der Wegweisung. Diese kann nur mit der subsidiären Verfassungsbeschwerde angefochten werden (vgl. Art. 83 lit. c Ziff. 4 BGG ), soweit sich die betroffene ausländische Person auf besondere verfassungsmässige Rechte beruft, welche ihr unmittelbar ein rechtlich geschütztes Interesse im Sinne von Art. 115 lit. b BGG verschaffen (bspw. Art. 3 EMRK ; vgl. BGE 137 II 305 E. 3.3 S. 310). Da sich der Beschwerdeführer auf kein solches Recht beruft, kann auf seine Vorbringen nicht eingetreten werden.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BGE 136 II 304 E. 2.5 S. 314 mit Hinweisen).</w:t>
      </w:r>
    </w:p>
    <w:p>
      <w:r>
        <w:rPr>
          <w:b/>
        </w:rPr>
        <w:t>E. 3.1</w:t>
      </w:r>
    </w:p>
    <w:p>
      <w:r>
        <w:t>Soweit der Beschwerdeführer geltend macht, seine Beweisanträge hinsichtlich seiner Integration in der Schweiz bzw. dem Verhältnis zu seinen hier lebenden Kindern seien unberücksichtigt geblieben, rügt er sinngemäss eine Verletzung des rechtlichen Gehörs ( Art. 29 Abs. 2 BV ). Der Anspruch auf rechtliches Gehör umfasst das Recht der betroffenen Person, sich vor Erlass eines in ihre Rechtsstellung eingreifenden Entscheides zur Sache zu äussern sowie das Recht auf Abnahme der rechtzeitig und formrichtig angebotenen rechtserheblichen Beweismittel ( BGE 127 I 54 E. 2b S. 56). Dem Anspruch auf rechtliches Gehör lässt sich jedoch nicht 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Das Verwaltungsgericht hat sich bei der Beurteilung der Situation des Beschwerdeführers gebührend mit den Akten auseinandergesetzt und sämtliche wesentlichen Umstände berücksichtigt. Die der Vorinstanz vorliegenden Informationen zur Integration des Beschwerdeführers bzw. zu seinem Verhältnis zu seinen Kindern sind umfassend genug und geeignet, um ihre Feststellungen zu untermauern. Daher durfte sie in willkürfreier antizipierter Beweiswürdigung auf die Abnahme weiterer Beweise verzichten. Zudem legt der Beschwerdeführer in keiner Weise dar, welche neuen entscheidrelevanten Erkenntnisse durch die von ihm im kantonalen Verfahren verlangten Beweiserhebungen hätten gewonnen werden können. Die Rüge der Verletzung des rechtlichen Gehörs erweist sich damit als unbegründet.</w:t>
      </w:r>
    </w:p>
    <w:p>
      <w:r>
        <w:rPr>
          <w:b/>
        </w:rPr>
        <w:t>E. 3.2</w:t>
      </w:r>
    </w:p>
    <w:p>
      <w:r>
        <w:t>Der Beschwerdeführer rügt sinngemäss eine unrichtige bzw. unvollständige Sachverhaltsfestellung ( Art. 97 BGG ). Die Vorinstanz habe den Sachverhalt um seine Lebensverhältnisse, insbesondere seine Beziehung zu seinen hier lebenden Kindern, nicht ausreichend erstellt. Zudem sei sie zu Unrecht davon ausgegangen, er sei über einen Zeitraum von mehr als drei Jahren landesabwesend gewesen. In seiner Rüge legt der Beschwerdeführer nicht in rechtsgenüglicher Weise dar, inwiefern die tatsächlichen Feststellungen der Vorinstanz offenkundig falsch oder lückenhaft wären. Ebenso wenig ist ersichtlich, dass die Beweiswürdigung durch die Vorinstanz offensichtlich unhaltbar wäre. Die Kritik des Beschwerdeführers erweist sich als rein appellatorisch, weshalb auf die Rüge der unrichtigen bzw. unvollständigen Sachverhaltsermittlung nicht eingetreten werden kann (vgl. E. 2.2).</w:t>
      </w:r>
    </w:p>
    <w:p>
      <w:r>
        <w:rPr>
          <w:b/>
        </w:rPr>
        <w:t>E. 4</w:t>
      </w:r>
    </w:p>
    <w:p>
      <w:r>
        <w:t>Vor Bundesgericht bestreitet der Beschwerdeführer nicht mehr das Erlöschen der Niederlassungsbewilligung. Er behauptet aber, dass die Verweigerung der Bewilligung seines neuen Aufenthalts Art. 8 Ziff. 1 EMRK bzw. Art. 13 Abs. 1 BV verletze. Er beruft sich in diesem Zusammenhang auch auf Art. 49 und Art. 50 AuG.</w:t>
      </w:r>
    </w:p>
    <w:p>
      <w:r>
        <w:rPr>
          <w:b/>
        </w:rPr>
        <w:t>E. 4.1</w:t>
      </w:r>
    </w:p>
    <w:p>
      <w:r>
        <w:t>Art. 49 AuG betrifft Ausnahmen vom Erfordernis des Zusammenwohnens, welches in den Artikeln 42-44 AuG verankert ist. Diese Bestimmung setzt voraus, dass eine Ehegemeinschaft mit einem Schweizer Bürger, einer Person mit Niederlassungsbewilligung oder einer Person mit Aufenthaltsbewilligung besteht (vgl. Art. 42 bis 44 AuG). Dies ist hier offensichtlich nicht der Fall, war doch der Beschwerdeführer bereits zum Zeitpunkt des vorinstanzlichen Urteils rechtskräftig von seiner Ehefrau geschieden. Aus dieser Bestimmung kann er somit nichts zu seinen Gunsten ableiten.</w:t>
      </w:r>
    </w:p>
    <w:p>
      <w:r>
        <w:rPr>
          <w:b/>
        </w:rPr>
        <w:t>E. 4.2</w:t>
      </w:r>
    </w:p>
    <w:p>
      <w:r>
        <w:t>Gemäss Art. 50 AuG besteht nach Auflösung der Ehe oder der Familiengemeinschaft der Anspruch des Ehegatten auf Erteilung und Verlängerung der Aufenthaltsbewilligung nach den Artikeln 42 und 43 AuG weiter, wenn die Ehegemeinschaft mindestens drei Jahre gedauert hat und eine erfolgreiche Integration besteht (Art. 50 Abs. 1 lit. a AuG) oder wichtige persönliche Gründe einen weiteren Aufenthalt in der Schweiz erforderlich machen (Art. 50 Abs. 1 lit. b AuG). Systematisch steht Art. 50 AuG im Zusammenhang mit Art. 42 und 43 AuG ( BGE 136 II 113 E. 3.3.2 S. 118 f.). Diese beiden Bestimmungen statuieren eine abgeleitete Anwesenheitsberechtigung, die das Ziel verfolgt, das familiäre Zusammenleben in der Schweiz zu ermöglichen ( BGE 140 II 129 E. 3.4 S. 132 mit Hinweis). Art. 50 AuG ist auf Situationen zugeschnitten, in denen die betroffene ausländische Person über eine abgeleitete Aufenthaltsbewilligung nach Art. 42 Abs. 1 bzw. Art. 43 Abs. 1 AuG verfügt, welche sie bei Auflösung der Ehegemeinschaft zu verlieren befürchten muss. Diese Frage stellt sich hier nicht, weil der seit 2004 über eine Niederlassungsbewilligung verfügende Beschwerdeführer bis zu deren Erlöschen ein eigenständiges Anwesenheitsrecht in der Schweiz besass. Nicht das Scheitern der Ehe- bzw. Familiengemeinschaft ist ursächlich für den Verlust seines Aufenthaltsrechts, sondern seine Landesabwesenheit im Anschluss an seine freiwillige Ausreise im Jahr 2010.</w:t>
      </w:r>
    </w:p>
    <w:p>
      <w:r>
        <w:rPr>
          <w:b/>
        </w:rPr>
        <w:t>E. 4.3</w:t>
      </w:r>
    </w:p>
    <w:p>
      <w:r>
        <w:t>Zu prüfen ist schliesslich, inwiefern der Beschwerdeführer mit Blick auf sein Verhältnis zu seinen hier lebenden anwesenheitsberechtigten minderjährigen Kindern aus Art. 8 EMRK (bzw. Art. 13 BV ) einen Anspruch auf Neuerteilung einer Aufenthaltsbewilligung ableiten kann.</w:t>
      </w:r>
    </w:p>
    <w:p>
      <w:r>
        <w:rPr>
          <w:b/>
        </w:rPr>
        <w:t>E. 4.3.1</w:t>
      </w:r>
    </w:p>
    <w:p>
      <w:r>
        <w:t>Es kann das in Art. 8 EMRK (bzw. Art. 13 BV ) geschützte Recht auf Achtung des Privat- und Familienlebens verletzen, wenn einem Ausländer, dessen Familienangehörige hier weilen, die Anwesenheit untersagt und damit das Familienleben vereitelt wird ( BGE 135 I 143 E. 1.3.1 S. 145, 153 E. 2.1 S. 154 f.). Es ergibt sich daraus jedoch weder ein Recht auf Einreise oder Aufenthalt in einem bestimmten Staat noch auf Wahl des für das Familienleben am geeignetsten erscheinenden Ortes.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Nach konstanter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mit Hinweisen; 120 Ib 1 E. 3c S. 5; 120 Ib 22 E. 4 S. 24 ff.).</w:t>
      </w:r>
    </w:p>
    <w:p>
      <w:r>
        <w:rPr>
          <w:b/>
        </w:rPr>
        <w:t>E. 4.3.2</w:t>
      </w:r>
    </w:p>
    <w:p>
      <w:r>
        <w:t>Gemäss den Feststellungen der Vorinstanz, die der Beschwerdeführer nicht erfolgreich in Zweifel zu ziehen vermag, hat er im August 2010 seinen Lebensmittelpunkt nach Serbien verlegt und sich bis 2013 nur noch sporadisch in der Schweiz aufgehalten. Seine fünf aus der Ehe stammenden Kinder und zwei seiner vier in der Schweiz lebenden ausserehelichen Kinder liess er hier zurück. Dem Ehescheidungsurteil des Bezirksgerichts Baden vom 20. November 2013 lässt sich entnehmen, dass die vier minderjährigen ehelichen Kinder des Beschwerdeführers unter der Obhut der in der Schweiz lebenden Mutter stehen. Der Beschwerdeführer ist berechtigt, die Kinder jeweils am 1. und 3. Samstag eines jeden Monats mit sich auf Besuch zu nehmen sowie zwei Wochen Ferien pro Jahr mit ihnen zu verbringen. Zudem wird der Beschwerdeführer verpflichtet, sowohl seiner geschiedenen Ehefrau als auch seinen vier minderjährigen Kindern je einen Unterhaltsbeitrag von monatlich Fr. 200.-- zu leisten. Hinsichtlich der weiteren in der Schweiz lebenden Kinder, welche aus der ausserehelichen Beziehung stammen, ist laut Verwaltungsgericht keine Sorgerechtsregelung aktenkundig. Der Beschwerdeführer macht vor Bundesgericht nicht geltend, zu letzteren einen regelmässigen Kontakt zu pflegen. Ob unter den genannten Umständen von einer besonders engen affektiven Beziehung im Sinne der Rechtsprechung zwischen dem Beschwerdeführer und seinen in der Schweiz lebenden Kindern ausgegangen werden kann, ist zweifelhaft. Dies braucht jedoch nicht abschliessend geklärt zu werden, da die Voraussetzung der engen wirtschaftlichen Beziehung nicht gegeben ist. Gemäss den - vom Beschwerdeführer nicht bestrittenen - vorinstanzlichen Sachverhaltsfeststellungen ist dieser seinen finanziellen Verpflichtungen in Zusammenhang mit seinen Vaterschaften nicht nachgekommen. Aus den Akten geht hervor, dass die Gemeinde Mellingen zwischen Februar 2011 und September 2013 Alimente im Betrag von über Fr. 70'000.-- bevorschussen musste. Daher ist nicht zu beanstanden, dass die Vorinstanz das Vorliegen einer besonders intensiven Beziehung in wirtschaftlicher Hinsicht zwischen dem Beschwerdeführer und seinen Kindern verneint hat. Dass der Beschwerdeführer - wie er vorbringt - "nunmehr interessiert und willens" ist, seinen Verpflichtungen zu genügen, ändert daran nichts. Angesichts dieser Sachlage erübrigt sich eine Auseinandersetzung mit der Frage des tadellosen Verhaltens.</w:t>
      </w:r>
    </w:p>
    <w:p>
      <w:r>
        <w:rPr>
          <w:b/>
        </w:rPr>
        <w:t>E. 4.3.3</w:t>
      </w:r>
    </w:p>
    <w:p>
      <w:r>
        <w:t>Wie die Vorinstanz zudem zutreffend ausführt, hat der Beschwerdeführer bereits seit seiner Ausreise im Jahr 2010 den Kontakt zu seinen in der Schweiz lebenden Kindern im Rahmen von Besuchsaufenthalten gepflegt. Ihm ist daher zuzumuten, dies weiterhin zu tun, wobei allenfalls die Modalitäten des Besuchsrechts geeignet aus- bzw. umzugestalten sind. Die Vorinstanz hat somit zu Recht einen Aufenthaltsanspruch gestützt auf den Schutz des Familienlebens verneint.</w:t>
      </w:r>
    </w:p>
    <w:p>
      <w:r>
        <w:rPr>
          <w:b/>
        </w:rPr>
        <w:t>E. 4.4</w:t>
      </w:r>
    </w:p>
    <w:p>
      <w:r>
        <w:t>Soweit der Beschwerdeführer aus seiner langjährigen Anwesenheit einen Anspruch auf Erteilung einer Aufenthaltsbewilligung abzuleiten versucht, dringt er nicht durch. Unter besonderen Umständen kann sich aus dem in Art. 8 Abs. 1 EMRK verankerten Anspruch auf Schutz des Privatlebens ein Recht auf Verbleib im Land ergeben (Urteil 2C_838/2013 vom 23. September 2013 E. 2.2.3; vgl. auch Urteile des EGMR Vasquez gegen Schweiz vom 26. November 2013 [1785/08] § 37 sowie Gezginci gegen Schweiz vom 9. Dezember 2010 [16327/05] § 56 ff.). Eine lange Anwesenheit und die damit verbundene normale Integration genügen hierzu jedoch nicht. Nach der Rechtsprechung erfordert dies besonders intensive, über eine normale Integration hinausgehende private Bindungen gesellschaftlicher oder beruflicher Natur bzw. entsprechende vertiefte soziale Beziehungen zum ausserfamiliären Bereich ( BGE 130 II 281 E. 3.2.1 S. 286; Urteile 2C_654/2013 vom 12. Februar 2014 E. 2.1 und 2C_426/2010 vom 16. Dezember 2010 E. 3.1). Der Beschwerdeführer kam 1994 im Alter von 17 Jahren in die Schweiz, wo er dann rund 16 Jahre gelebt hat. Eine überdurchschnittliche Integration ist jedoch nicht erkennbar. Zwar ging er bis zu seiner Ausreise verschiedenen Erwerbstätigkeiten nach; von einer beruflichen Verankerung kann jedoch nicht gesprochen werden. Zudem war es ihm trotz Erwerbstätigkeit nicht möglich, den Lebensunterhalt seiner Familie zu bestreiten, weshalb diese von der Sozialhilfe unterstützt werden musste. Welche sonstigen engen sozialen Beziehungen der Beschwerdeführer konkret zur Schweiz geknüpft haben soll, ist nicht ersichtlich. Der Beschwerdeführer hat im Gegenteil die Schweiz im Jahr 2010 freiwillig verlassen, um in sein Heimatland zurückzukehren, wo auch zwei seiner elf Kinder leben. Wie die Vorinstanz zu Recht ausführt, ist der Beschwerdeführer mit den dortigen sprachlichen und kulturellen Verhältnissen nach wie vor bestens vertraut und wäre bei einer erneuten Rückkehr nicht mit Integrationsschwierigkeiten konfrontiert.</w:t>
      </w:r>
    </w:p>
    <w:p>
      <w:r>
        <w:rPr>
          <w:b/>
        </w:rPr>
        <w:t>E. 5.1</w:t>
      </w:r>
    </w:p>
    <w:p>
      <w:r>
        <w:t>Nach dem Gesagten verletzt der angefochtene Entscheid weder Bundes- noch Konventionsrecht. Folglich ist die Beschwerde unbegründet und abzuweisen.</w:t>
      </w:r>
    </w:p>
    <w:p>
      <w:r>
        <w:rPr>
          <w:b/>
        </w:rPr>
        <w:t>E. 5.2</w:t>
      </w:r>
    </w:p>
    <w:p>
      <w:r>
        <w:t>Da der angefochtene Entscheid der ständigen bundesgerichtlichen Rechtsprechung entspricht und somit die Gewinnaussichten der Prozessbegehren von Anfang an beträchtlich geringer waren als die Verlustgefahren, erweist sich die Beschwerde als aussichtslos, so dass das Gesuch um unentgeltliche Rechtspflege und Verbeiständung abzuweisen ist ( Art. 64 Abs. 1 BGG ; BGE 129 I 129 E. 2.3.1 S. 135 f.; Urteil 2C_856/2012 vom 25. März 2013 E. 7.1). Dem Verfahrensausgang entsprechend wird der unterliegende Beschwerdeführer kostenpflichtig. Angesichts der besonderen Umstände werden ihm reduzierte Gerichtskosten (Fr. 1'000.--) auferlegt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