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2C_108/2021 vom 26. Juli 2021</w:t>
      </w:r>
    </w:p>
    <w:p>
      <w:r>
        <w:t>Bundesgericht, 2021-07-26, DE</w:t>
      </w:r>
    </w:p>
    <w:p>
      <w:r>
        <w:rPr>
          <w:b/>
        </w:rPr>
        <w:t xml:space="preserve">Quelle: </w:t>
      </w:r>
      <w:r>
        <w:t>https://mcp.opencaselaw.ch/entscheid/bger_2C_108_2021</w:t>
      </w:r>
    </w:p>
    <w:p>
      <w:r>
        <w:t>FR: TF 2C_108/2021 du 26 juillet 2021</w:t>
      </w:r>
    </w:p>
    <w:p>
      <w:r>
        <w:t>IT: TF 2C_108/2021 del 26 luglio 2021</w:t>
      </w:r>
    </w:p>
    <w:p>
      <w:pPr>
        <w:pStyle w:val="Heading2"/>
      </w:pPr>
      <w:r>
        <w:t>Erwägungen</w:t>
      </w:r>
    </w:p>
    <w:p>
      <w:r>
        <w:rPr>
          <w:b/>
        </w:rPr>
        <w:t>E. 1.1</w:t>
      </w:r>
    </w:p>
    <w:p>
      <w:r>
        <w:t>Die Beschwerde in öffentlich-rechtlichen Angelegenheiten gegen das angefochtene Urteil, welches im Verfahren der abstrakten Normenkontrolle eine Beschwerde gegen §§ 2-4 der kantonalen V Covid-19 abweist, ist grundsätzlich zulässig ( Art. 82 lit. b, Art. 86 Abs. 1 lit. d und Art. 87 Abs. 2 BGG ). Der Beschwerdeführer wohnt im Kanton Zürich und ist durch die Maskenpflicht in Gastronomiebetrieben sowie bei Veranstaltungen zumindest virtuell berührt und zudem durch das angefochtene Urteil formell beschwert ( Art. 89 Abs. 1 lit. a und b BGG ).</w:t>
      </w:r>
    </w:p>
    <w:p>
      <w:r>
        <w:rPr>
          <w:b/>
        </w:rPr>
        <w:t>E. 1.2</w:t>
      </w:r>
    </w:p>
    <w:p>
      <w:r>
        <w:t>Das schutzwürdige Interesse ( Art. 89 Abs. 1 lit. c BGG )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w:t>
      </w:r>
    </w:p>
    <w:p>
      <w:r>
        <w:rPr>
          <w:b/>
        </w:rPr>
        <w:t>E. 1.3</w:t>
      </w:r>
    </w:p>
    <w:p>
      <w:r>
        <w:t>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1.4</w:t>
      </w:r>
    </w:p>
    <w:p>
      <w:r>
        <w:t>Die Beschwerde an das Bundesgericht muss die Begehren, deren Begründung mit Angabe der Beweismittel und die Unterschrift enthalten. In der Begründung ist in gedrängter Form darzulegen, inwiefern der angefochtene Akt Recht verletzt ( Art. 42 Abs. 1 und 2 BGG ).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m.H.). Sodann prüft das Bundesgericht die Verletzung von Grundrechten und von kantonalem und interkantonalem Recht nur insofern, als eine solche Rüge in der Beschwerde vorgebracht und begründet worden ist ( Art. 106 Abs. 2 BGG ). Es gilt insofern eine gesteigerte Rügepflicht ( BGE 143 II 283 E. 1.2.2 ; 139 I 229 E. 2.2). Enthält ein Rechtsbegehren überhaupt keine hinreichende Begründung, tritt das Bundesgericht darauf nicht ein. Die Begründung muss in der Beschwerde selber enthalten sein, die innert der gesetzlichen und nicht erstreckbaren Beschwerdefrist einzureichen ist. Ein zweiter Schriftenwechsel dient dazu, sich zu den von der Gegenpartei eingereichten Stellungnahmen zu äussern. Ausgeschlossen sind hingegen in diesem Rahmen Anträge und Rügen, die der Beschwerdeführer bereits vor Ablauf der Beschwerdefrist hätte erheben können ( BGE 143 II 283 E. 1.2.3).</w:t>
      </w:r>
    </w:p>
    <w:p>
      <w:r>
        <w:rPr>
          <w:b/>
        </w:rPr>
        <w:t>E. 1.5</w:t>
      </w:r>
    </w:p>
    <w:p>
      <w:r>
        <w:t>Die Beschwerde vor Verwaltungsgericht betraf die §§ 2-4 der Verordnung in der Fassung vom 13. Oktober 2020. Davon waren bereits im Zeitpunkt der Beschwerdeerhebung an die Vorinstanz die § 2 und § 4 nicht mehr in Kraft. In Kraft war noch § 3 in der am 21. Oktober 2020 geänderten Fassung, die aber gegenüber derjenigen vom 13. Oktober 2020 praktisch unverändert blieb; die einzige Änderung bestand darin, dass in Satz 2 für die Ausnahmen von der Maskenpflicht auf Art. 3b Abs. 2 der eidgenössischen Covid-19-Verordnung besondere Lage verwiesen wurde anstatt wie bisher auf § 4 Abs. 3 der kantonalen V Covid-19. Sein Gehalt besteht darin, dass bei Veranstaltungen mit mehr als 30 bzw. 300 Personen Gesichtsmasken getragen werden müssen, wenn der Abstand nicht eingehalten werden kann.</w:t>
      </w:r>
    </w:p>
    <w:p>
      <w:r>
        <w:rPr>
          <w:b/>
        </w:rPr>
        <w:t>E. 1.6</w:t>
      </w:r>
    </w:p>
    <w:p>
      <w:r>
        <w:t>Das Verwaltungsgericht erwog in allgemeiner Hinsicht, Art. 40 Abs. 2 EpG sei eine hinreichende gesetzliche Grundlage für die streitigen Massnahmen. Diese dienten der Bekämpfung der Covid-19-Epidemie und damit dem Schutz der Gesundheit der Bevölkerung. Spezifisch zu § 3 erwog es, die Einschränkung der Veranstaltungen diene dem Schutz der öffentlichen Gesundheit. Veranstaltungen blieben bei Einhaltung des Mindestanstands oder bei Tragen von Gesichtsmasken möglich. Eine mildere Massnahme sei nicht ersichtlich und der Beschwerdeführer lege nicht dar, weshalb ihm die Massnahme nicht zumutbar sein soll.</w:t>
      </w:r>
    </w:p>
    <w:p>
      <w:r>
        <w:rPr>
          <w:b/>
        </w:rPr>
        <w:t>E. 1.7</w:t>
      </w:r>
    </w:p>
    <w:p>
      <w:r>
        <w:t>Die Beschwerde enthält kaum eine</w:t>
      </w:r>
    </w:p>
    <w:p>
      <w:r>
        <w:t>rechtliche Begründung. Der Beschwerdeführer bringt ohne nähere Begründung vor, die Maskentragpflicht sei ein willkürlicher und unverhältnismässiger Eingriff in das Recht auf persönliche Freiheit. In den weiteren Ausführungen kritisiert er, die von der WHO und dem BAG verwendeten Pandemiedefinitionen beruhten nicht auf vernünftigen Kriterien; nach diesen Definitionen liege bereits bei einer saisonalen Grippe eine Pandemie vor. Hauptsächlich übt er Kritik am PCR-Test: Die positiv Getesteten dürften nicht mit der Zahl der Infizierten oder Erkrankten verwechselt werden. Ein PCR-Test könne keine Infektion nachweisen; die Vorinstanz habe den Sachverhalt offensichtlich unrichtig dargestellt, indem sie auf die Kritik am PCR-Test nicht eingegangen sei und festgestellt habe, es gebe keine Anhaltspunkte dafür, dass der Test ungeeignet sei, um eine Covid-19-Infektion nachweisen zu können; der Test könne nur nachweisen, ob jemand mit dem Virus (bzw. Teilen davon) in Berührung gekommen sei, aber nicht, ob jemand infiziert oder erkrankt sei oder andere anstecken könne. Aufgrund der Zahlen sei eine hohe Korrelation zwischen positiver Testung und Erkrankung nicht offensichtlich. Beim Entscheid über staatliche Massnahmen dürfe daher nicht auf die Zahl der positiv Getesteten abgestellt werden. Auch im Zusammenhang mit Symptomen sei der Test nicht aussagekräftig, weil die Symptome auch von anderen Viren hervorgerufen werden könnten. Sodann kritisiert er, die angeordneten Massnahmen seien ungeeignet bzw. gar kontraproduktiv; eine Infektion mit Covid-19 verlaufe in den meisten Fällen mild und komplikationslos. Ein Nutzen der Maske sei nicht bewiesen; hingegen bekomme man mit Maske weniger Sauerstoff und es entstünden irreparable Gehirnschäden; überall, wo eine Maskenpflicht eingeführt worden sei, seien die Fallzahlen gestiegen.</w:t>
      </w:r>
    </w:p>
    <w:p>
      <w:r>
        <w:rPr>
          <w:b/>
        </w:rPr>
        <w:t>E. 1.8</w:t>
      </w:r>
    </w:p>
    <w:p>
      <w:r>
        <w:t>Diese Argumentation bezieht sich in allgemeiner Weise auf die Maskentragpflicht, die indessen, soweit sie in § 2 und § 4 der Verordnung enthalten war, nicht mehr aktuell ist. Sodann hat das Bundesgericht mit Urteil 2C_793/2020 vom 8. Juli 2021 eine Maskentragpflicht in Einkaufsläden als rechtmässig beurteilt. Es hat dabei erwogen, die Maskentragpflicht stelle zwar eine leichte Einschränkung der persönlichen Freiheit dar. Diese beruhe aber auf einer hinreichenden gesetzlichen Grundlage ( Art. 40 EpG ), diene einem öffentlichen Interesse und sei angesichts des der Exekutive einzuräumenden Spielraums und aufgrund des aktuell verfügbaren Wissens verhältnismässig: Die Covid-19-Pandemie sei gravierender als die saisonale Grippe-Epidemie; die Entwicklung der Pandemie namentlich ab Herbst 2020 rechtfertige die Maskenpflicht; die Gesichtsmaske schütze zwar nicht hundertprozentig, sei aber geeignet, die Verbreitung des Virus zu begrenzen, auch wenn nicht ausgeschlossen sei, dass eine unsachgemässe Verwendung kontraproduktive Auswirkungen haben könne, weil sie ein falsches Sicherheitsgefühl vermitteln könne. Die Maskentragpflicht sei zudem nicht besonders einschneidend, da sie nur während der Dauer des Aufenthalts in Einkaufsläden bzw. -zentren bestehe. Sie sei milder als denkbare alternative Massnahmen. Zwar bezog sich dieses Urteil auf Einkaufsläden bzw. -zentren, nicht auf Gastronomiebetriebe, doch ist im Lichte der vom Beschwerdeführer vorgebrachten Argumentation nicht ersichtlich, inwiefern dies einen wesentlichen Unterschied machen sollte. Es besteht daher kein öffentliches Interesse daran, dass das Bundesgericht diese Frage wegen deren grundsätzlicher Bedeutung trotz Wegfalls des aktuellen Interesses nochmals prüft.</w:t>
      </w:r>
    </w:p>
    <w:p>
      <w:r>
        <w:rPr>
          <w:b/>
        </w:rPr>
        <w:t>E. 1.9</w:t>
      </w:r>
    </w:p>
    <w:p>
      <w:r>
        <w:t>Auch in Bezug auf § 3 der Verordnung erschöpft sich die Beschwerde in einer generellen Kritik an der Maskentragpflicht. Mit der Argumentation der Vorinstanz zu § 3 setzt sich der Beschwerdeführer nicht spezifisch auseinander. Zudem ist seine Kritik am PCR-Test in diesem Zusammenhang nicht relevant, denn die Vorinstanz rechtfertigt die angefochtene Massnahme nicht nur oder primär mit positiven Testergebnissen, sondern mit Todesfällen und Hospitalisationen. Auch die Argumentation des Beschwerdeführers, der Umstand, dass die Fallzahlen nach Einführung der Maskenpflicht stabil geblieben seien oder zugenommen hätten, beweise die Ungeeignetheit der Maskenpflicht, ist unbehelflich: Denn entscheidend ist die Entwicklung, die ohne die getroffenen Massnahmen eingetreten wäre (vgl. Urteil 2C_941/2020 vom 8. Juli 2021 E. 3.3.4). Dazu enthält die Beschwerde keine Aussagen. In Bezug auf § 3 der Verordnung ist somit mangels hinreichender Begründung nicht einzutreten (vorne E. 1.4).</w:t>
      </w:r>
    </w:p>
    <w:p>
      <w:r>
        <w:rPr>
          <w:b/>
        </w:rPr>
        <w:t>E. 2</w:t>
      </w:r>
    </w:p>
    <w:p>
      <w:r>
        <w:t>Auf die Beschwerde ist nach dem Gesagten nicht einzutreten. Der unterliegende Beschwerdeführer trägt die 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