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2C_1083/2018 vom 23. April 2019</w:t>
      </w:r>
    </w:p>
    <w:p>
      <w:r>
        <w:t>Bundesgericht, 2019-04-23, FR</w:t>
      </w:r>
    </w:p>
    <w:p>
      <w:r>
        <w:rPr>
          <w:b/>
        </w:rPr>
        <w:t xml:space="preserve">Quelle: </w:t>
      </w:r>
      <w:r>
        <w:t>https://mcp.opencaselaw.ch/entscheid/bger_2C_1083_2018</w:t>
      </w:r>
    </w:p>
    <w:p>
      <w:r>
        <w:t>FR: TF 2C_1083/2018 du 23 avril 2019</w:t>
      </w:r>
    </w:p>
    <w:p>
      <w:r>
        <w:t>IT: TF 2C_1083/2018 del 23 aprile 2019</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querellé que le rejet du recours qu'il prononce concerne à la fois les deux catégories d'impôt et, pour ce qui concerne l'ICC, du droit harmonisé (cf. art. 8 al. 2 de la loi fédérale du 14 décembre 1990 sur l'harmonisation des impôts directs, des cantons et des communes [LHID; RS 642.14]). La voie du recours en matière de droit public est donc en principe ouverte en vertu des art. 82 ss LTF , 146 de la loi fédérale du 14 décembre 1990 sur l'impôt fédéral direct (LIFD; RS 642.11) et 73 al. 1 LHID.</w:t>
      </w:r>
    </w:p>
    <w:p>
      <w:r>
        <w:rPr>
          <w:b/>
        </w:rPr>
        <w:t>E. 1.2</w:t>
      </w:r>
    </w:p>
    <w:p>
      <w:r>
        <w:t>Le dépôt d'un seul acte de recours est autorisé dans la mesure où, comme en l'espèce, le recourant s'en prend clairement aux deux catégories d'impôts (cf. ATF 135 II 260 consid. 1.3.2 p. 263 s.). L'arrêt attaqué ayant omis de distinguer, dans son dispositif, les deux catégories d'impôt, on ne peut reprocher au recourant de ne pas avoir formulé de conclusions séparées (cf. ATF 135 II 260 consid. 1.3.3 p. 264). Au surplus, le recours a été interjeté en temps utile (cf. art. 100 al. 1 LTF ), par le destinataire de l'arrêt attaqué, qui a qualité pour recourir ( art. 89 al. 1 LTF ). Il convient donc d'entrer en matière.</w:t>
      </w:r>
    </w:p>
    <w:p>
      <w:r>
        <w:rPr>
          <w:b/>
        </w:rPr>
        <w:t>E. 2</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que si ce grief a été invoqué et motivé par la partie recourante, conformément au principe d'allégation ( art. 106 al. 2 LTF ; ATF 142 II 369 consid. 2.1 p. 372; 141 I 36 consid. 1.3 p. 41).</w:t>
      </w:r>
    </w:p>
    <w:p>
      <w:r>
        <w:t>II. Objet du litige</w:t>
      </w:r>
    </w:p>
    <w:p>
      <w:r>
        <w:rPr>
          <w:b/>
        </w:rPr>
        <w:t>E. 3</w:t>
      </w:r>
    </w:p>
    <w:p>
      <w:r>
        <w:t>L'objet du litige porte uniquement sur la question de la qualification commerciale ou privée de l'immeuble n° ****, propriété du recourant, pour la période fiscale 2013.</w:t>
      </w:r>
    </w:p>
    <w:p>
      <w:r>
        <w:t>IV. Impôt fédéral direct</w:t>
      </w:r>
    </w:p>
    <w:p>
      <w:r>
        <w:rPr>
          <w:b/>
        </w:rPr>
        <w:t>E. 4.1</w:t>
      </w:r>
    </w:p>
    <w:p>
      <w:r>
        <w:t>La fortune commerciale comprend, aux termes de l' art. 18 al. 2 LIFD ,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(cf. ATF 133 II 420 consid. 3.2 p. 422; arrêts 2C_866/2016 du 6 juin 2017 in ASA 86 p. 135; 2C_41/2016 du 25 avril 2017 consid. 5.2 in StE 2017 B 23.2 n° 54, StR 72/2017 p. 880). L'attribution d'immeubles (ou d'une partie de ceux-ci) à la fortune commerciale ou à la fortune privée du contribuable doit également se faire sur la base de leur fonction technique et économique globale (cf. ATF 133 II 420 consid. 3.3 p. 422 s.). C'est donc en premier lieu le fait que l'immeuble serve effectivement à l'entreprise qui est déterminant. Les propriétés extérieures de l'immeuble, l'origine des fonds qui ont contribué à son financement, le motif d'acquisition ou de revente, les relations civiles de propriété et le traitement comptable sont d'autres critères d'attribution possibles (cf. arrêts 2C_996/2012 du 19 avril 2013 consid. 5.1 in RF 68/2013 p. 795, RDAF 2013 II 410; 2C_802/2012 du 8 janvier 2013 consid. 2.2). Les simples projets et intentions qui existaient au moment de l'acquisition du bien en cause ne sont, en revanche, pas à prendre en considération (cf. arrêt 2A.62/2000 du 14 juin 2000 consid. 2c; JULIA VON AH, Die Besteuerung Selbständigerwerbender, 2011, p. 48).</w:t>
      </w:r>
    </w:p>
    <w:p>
      <w:r>
        <w:t>La comptabilisation ne suffit pas à elle seule pour décider de l'attribution d'un élément de fortune à la fortune commerciale. Un élément de fortune - eu égard à sa fonction technique et économique - peut constituer un élément de fortune commerciale, même s'il n'est pas incorporé dans la comptabilité ( ATF 133 II 420 consid. 3.2 p. 422).</w:t>
      </w:r>
    </w:p>
    <w:p>
      <w:r>
        <w:t>Le fait qu'un immeuble a été acquis dans un but de prévoyance ne suffit pas à lui attribuer le caractère d'élément de la fortune privée. En effet, la prévoyance privée, comme professionnelle, peut être assurée par des actifs appartenant à la fortune commerciale (cf. ATF 125 II 113 consid. 6b p. 124 s.; arrêts 2C_996/2012 précité du 19 avril 2013 consid. 5.1; 2C_29/2008 du 28 mai 2008 consid. 4.2).</w:t>
      </w:r>
    </w:p>
    <w:p>
      <w:r>
        <w:rPr>
          <w:b/>
        </w:rPr>
        <w:t>E. 4.2</w:t>
      </w:r>
    </w:p>
    <w:p>
      <w:r>
        <w:t>Lorsque des biens alternatifs (à savoir des biens qui par leur nature peuvent appartenir aussi bien à la fortune commerciale que privée) font l'objet d'un usage mixte (c'est-à-dire, d'une utilisation en partie commerciale et en partie privée; par exemple, une maison privée utilisée accessoirement comme cabinet médical ou un véhicule automobile utilisé à des fins professionnelles et privées; XAVIER OBERSON, Droit fiscal suisse, 2012, n. 49 p. 110; THIERRY OBRIST, Le concept de réalisation systématique en droit fiscal suisse, 2012, p. 205; cf. également FABIAN AMSCHWAND, Geschäftsvermögen oder Privatvermögen? Eine Übersicht, in Revue fiscale n° 7-8/2000 p. 482 ss), il convient de recourir à la méthode de la prépondérance. Selon celle-ci, la fortune commerciale comprend tous les éléments de fortune mixtes qui servent entièrement ou de manière prépondérante à l'exercice de l'activité lucrative indépendante. En revanche, les objets qui ne servent pas de manière prépondérante à l'activité commerciale appartiennent intégralement à la fortune privée, même s'ils sont en partie utilisés à des fins commerciales. A cet effet, lorsqu'un immeuble est concerné, il faut mettre en relation, en règle générale, tous les rendements qui se rapportent à la partie de l'immeuble servant à l'exploitation, avec le rendement total de l'immeuble. Si la part de l'utilisation commerciale s'élève à plus de 50 pour cent, on est en présence d'une utilisation à prédominance commerciale. Le rendement total de l'immeuble se compose de l'ensemble des revenus provenant de l'immeuble, selon l'article 21 LIFD, en y incluant la valeur locative, fixée à sa valeur marchande, pour la partie de l'immeuble affectée à l'exploitation ( ATF 133 II 420 consid. 3.3 p. 423).</w:t>
      </w:r>
    </w:p>
    <w:p>
      <w:r>
        <w:rPr>
          <w:b/>
        </w:rPr>
        <w:t>E. 4.3</w:t>
      </w:r>
    </w:p>
    <w:p>
      <w:r>
        <w:t>En l'espèce, il ressort des faits de l'arrêt entrepris, qui lient le Tribunal fédéral ( art. 105 al. 1 LTF ), que depuis son acquisition par le recourant en 1998 et jusqu'en 2015, le bien en cause a exclusivement été utilisé par celui-ci en tant que cabinet médical pour l'exercice de son activité de psychiatre. Dès lors, si l'appartement en question doit effectivement être considéré comme un bien potentiellement alternatif, susceptible d'appartenir aussi bien à la fortune privée que commerciale, comme le relèvent le recourant et l'instance précédente, il ne s'agit en revanche pas d'un bien ayant fait l'objet d'un usage mixte durant la période considérée, soit en 2013. Jusqu'en 2015, celui-ci a exclusivement servi à des fins commerciales. Sur le plan objectif, la situation est donc claire et il n'y a pas lieu de recourir à la méthode de la prépondérance (cf. supra consid. 4.2). La fonction effective de ce bien, qui est le critère déterminant (cf. supra consid. 4.1), permet donc de l'attribuer à la fortune commerciale du recourant pour l'année en cause. Le financement par des fonds propres, le traitement comptable ou l'intention d'en faire un logement privé dans le futur ne sont pas propres à modifier cette appréciation, de même qu'un changement ultérieur d'utilisation ou d'affectation (cf. supra consid. 4.1). Par ailleurs, le recourant ne peut rien tirer de l'avis de doctrine qu'il cite concernant la mise à disposition de locaux par un entrepreneur pour son entreprise. En effet, à la différence du présent cas, cet exemple concerne un bien d'utilisation mixte, en l'occurrence celle d'un immeuble qui est propriété du contribuable et qui sert en même temps à des fins commerciales et à des fins privées (cf. MARKUS REICH, Die Abgrenzung von Geschäfts- und Privatvermögen im Einkomments-steuerrecht, in SJZ, 80/1984, p. 225). En outre, comme déjà mentionné, l'appartement en cause a permis à l'intéressé d'exercer son activité lucrative. Sur le plan économique, on ne peut donc pas prétendre, comme le fait le recourant, que ce bien n'aurait pas servi à l'exercice de ladite activité. Le paiement d'un loyer, au demeurant déductible en tant que charge justifiée par l'usage commercial, ne modifie en rien cette appréciation.</w:t>
      </w:r>
    </w:p>
    <w:p>
      <w:r>
        <w:t>Le Tribunal cantonal n'a ainsi pas violé le droit fédéral en confirmant que, pour la période fiscale 2013, l'immeuble en cause appartenait à la fortune commerciale. Le recours doit partant être rejeté pour ce qui concerne l'IFD 2013.</w:t>
      </w:r>
    </w:p>
    <w:p>
      <w:r>
        <w:t>V. Impôts cantonal et communal</w:t>
      </w:r>
    </w:p>
    <w:p>
      <w:r>
        <w:rPr>
          <w:b/>
        </w:rPr>
        <w:t>E. 5</w:t>
      </w:r>
    </w:p>
    <w:p>
      <w:r>
        <w:t>Comme l' art. 8 al. 1 et 2 LHID , repris à l'art. 21 al. 2 de la loi cantonale du 4 juillet 2000 sur les impôts directs cantonaux (LI/VD; RS/VD 642.11), correspond à l' art. 18 al. 2 LIFD , la jurisprudence applicable en matière de LIFD est également déterminante en ce qui concerne l'ICC (cf. arrêts 2C_228/2015 du 7 juin 2016 consid. 6.2; 2C_455/2011 du 5 avril 2012 consid. 8). Il peut donc être renvoyé aux considérants relatifs à l'IFD, en ce qui concerne la qualification de l'immeuble en cause. Le recours sera donc lui aussi rejeté en ce qui concerne l'ICC 2013.</w:t>
      </w:r>
    </w:p>
    <w:p>
      <w:r>
        <w:t>VI. Issue du litige; frais et dépens</w:t>
      </w:r>
    </w:p>
    <w:p>
      <w:r>
        <w:rPr>
          <w:b/>
        </w:rPr>
        <w:t>E. 6</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