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2C_1081/2014 vom 19. Februar 2016</w:t>
      </w:r>
    </w:p>
    <w:p>
      <w:r>
        <w:t>Bundesgericht, 2016-02-19, DE</w:t>
      </w:r>
    </w:p>
    <w:p>
      <w:r>
        <w:rPr>
          <w:b/>
        </w:rPr>
        <w:t xml:space="preserve">Quelle: </w:t>
      </w:r>
      <w:r>
        <w:t>https://mcp.opencaselaw.ch/entscheid/bger_2C_1081_2014</w:t>
      </w:r>
    </w:p>
    <w:p>
      <w:r>
        <w:t>FR: TF 2C_1081/2014 du 19 février 2016</w:t>
      </w:r>
    </w:p>
    <w:p>
      <w:r>
        <w:t>IT: TF 2C_1081/2014 del 19 febbraio 2016</w:t>
      </w:r>
    </w:p>
    <w:p>
      <w:pPr>
        <w:pStyle w:val="Heading2"/>
      </w:pPr>
      <w:r>
        <w:t>Erwägungen</w:t>
      </w:r>
    </w:p>
    <w:p>
      <w:r>
        <w:rPr>
          <w:b/>
        </w:rPr>
        <w:t>E. 1</w:t>
      </w:r>
    </w:p>
    <w:p>
      <w:r>
        <w:t>Die Beschwerde in öffentlich-rechtlichen Angelegenheiten ist unzulässig gegen Entscheide auf dem Gebiet des Ausländerrechts, die Bewilligungen betreffen,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in vertretbarer Weise einen Bewilligungsanspruch gestützt auf die Besuchsrechtsbeziehung zu seinen Kindern nach Art. 8 EMRK geltend. Auf die gegen einen Endentscheid einer letzten kantonalen Instanz gerichtete Beschwerde des durch den vorinstanzlichen Entscheid unmittelbar betroffenen Beschwerdeführers ist einzutreten ( Art. 86 Abs. 1 lit. d und Abs. 2 BGG ; Art. 89 Abs. 1 und Art. 90 BGG ).</w:t>
      </w:r>
    </w:p>
    <w:p>
      <w:r>
        <w:rPr>
          <w:b/>
        </w:rPr>
        <w:t>E. 2.1</w:t>
      </w:r>
    </w:p>
    <w:p>
      <w:r>
        <w:t>Der Widerruf bzw. die Nichtverlängerung der Bewilligung beendet das bisherige Anwesenheitsrecht. Die Massnahme wirkt pro futuro, indem ab der Rechtskraft des Entscheids die Bewilligung nicht mehr besteht und der Aufenthalt der betroffenen Person in der Schweiz sich grundsätzlich als unzulässig erweist. Indessen kann - vorbehältlich eines rechtsmissbräuchlichen Verhaltens - jederzeit ein neues Bewilligungsgesuch gestellt werden. Wird diesem entsprochen, lebt damit nicht die frühere, rechtskräftig aufgehobene oder nicht verlängerte Bewilligung wieder auf, sondern es erfolgt eine neue Beurteilung, die voraussetzt, dass die zur Erteilung erforderlichen Voraussetzungen erfüllt sind. Ein neues Gesuch darf - wie ein Wiedererwägungsgesuch - indessen nicht dazu dienen, rechtskräftige Entscheide immer wieder infrage zu stellen. Die Verwaltungsbehörde ist von Verfassungswegen nur verpflichtet, auf ein solches einzugehen, wenn die Umstände sich seit dem ersten Entscheid wesentlich verändert haben oder der Gesuchsteller erhebliche Tatsachen und Beweismittel namhaft macht, die ihm im früheren Verfahren nicht bekannt waren oder die schon damals geltend zu machen für ihn rechtlich oder tatsächlich unmöglich war oder keine Veranlassung bestand; zudem muss bei ihrer Berücksichtigung eine andere Beurteilung als die frühere ernstlich in Betracht fallen (vgl. BGE 136 II 177 E. 2 S. 181 ff.; Urteile 2C_856/2015 vom 10. Oktober 2015 E. 3.2.4; 2C_876/2013 vom 18. November 2013 E. 3.1).</w:t>
      </w:r>
    </w:p>
    <w:p>
      <w:r>
        <w:rPr>
          <w:b/>
        </w:rPr>
        <w:t>E. 2.2</w:t>
      </w:r>
    </w:p>
    <w:p>
      <w:r>
        <w:t>In seinem Urteil 2C_828/2012 vom 26. März 2013 verneinte das Bundesgericht, dass A.________ erfolgreich integriert sei (Art. 50 Abs. 1 lit. a AuG) unter Verweis auf den mehrfachen Bezug von Sozialhilfeleistungen, die fehlende dauerhafte Integration in den Arbeitsmarkt sowie das strafbare Verhalten wegen wiederholter häuslicher Gewalt. Am 14. März 2008 erfolgte eine Verurteilung zu einer bedingten Geldstrafe von 60 Tagessätzen unter anderem wegen einfacher Körperverletzung. Am 25. Mai 2010 wurde A.________ wegen mehrfacher Drohung und mehrfacher Tätlichkeit zu einer Geldstrafe von 30 Tagessätzen und einer Busse von Fr. 300.-- verurteilt. Einen Härtefall nach Art. 50 Abs. 1 lit. b AuG erblickte das Bundesgericht namentlich hinsichtlich der Beziehung zu seinen Kindern nicht; es kam zum Schluss, A.________ sei es zumutbar, das beschränkte Besuchsrecht zu einem der Kinder im Rahmen von modernen Kommunikationsmitteln und Kurzaufenthalten vom Ausland her zu pflegen.</w:t>
      </w:r>
    </w:p>
    <w:p>
      <w:r>
        <w:rPr>
          <w:b/>
        </w:rPr>
        <w:t>E. 2.3</w:t>
      </w:r>
    </w:p>
    <w:p>
      <w:r>
        <w:t>Die Vorinstanz gelangt zur Auffassung, es habe sich seither unter dem Gesichtswinkel von Art. 8 EMRK ( Art. 13 BV ) keine grundlegende Änderung der Sach- und Rechtslage ergeben. Ihre Beurteilung ist nicht zu beanstanden:</w:t>
      </w:r>
    </w:p>
    <w:p>
      <w:r>
        <w:rPr>
          <w:b/>
        </w:rPr>
        <w:t>E. 2.3.1</w:t>
      </w:r>
    </w:p>
    <w:p>
      <w:r>
        <w:t>Art. 8 EMRK sowie Art. 13 Abs. 1 BV schützen das tatsächlich gelebte und intakte Familienleben ( BGE 137 I 284 E. 1.3 S. 287 ; 135 I 143 E. 3.1 S. 148 mit Hinweisen). Unter dem Gesichtspunkt des Anspruchs auf Familienleben reicht grundsätzlich aus, wenn das Besuchsrecht eines - wie hier - weder sorge- noch obhutsberechtigten Elternteils im Rahmen von Kurzaufenthalten vom Ausland her ausgeübt werden kann, wobei allenfalls dessen Modalitäten entsprechend anzupassen sind ( BGE 140 I 145 E. 3.2 S. 147 ; 139 I 315 E. 2.2 S. 319). Ein weitergehendes Recht fällt in Betracht, wenn in wirtschaftlicher und affektiver Hinsicht eine besonders enge Beziehung zum Kind besteht, diese Beziehung wegen der Distanz zum Heimatland des Ausländers praktisch nicht aufrechterhalten werden könnte und dessen bisheriges Verhalten zu keinerlei namhaften Klagen Anlass gegeben hat ( BGE 139 I 315 E. 2.2 S. 319; 120 Ib 1 E. 3c S. 5; zum Element des tadellosen Verhaltens in der Interessenabwägung BGE 140 I 145 E. 4.3 S. 151 f.; Urteil 2C_547/2014 vom 5. Januar 2015 E. 3.2).</w:t>
      </w:r>
    </w:p>
    <w:p>
      <w:r>
        <w:rPr>
          <w:b/>
        </w:rPr>
        <w:t>E. 2.3.2</w:t>
      </w:r>
    </w:p>
    <w:p>
      <w:r>
        <w:t>Zum Zeitpunkt des vorinstanzlichen Urteils verfügt der Beschwerdeführer über ein dreistündiges Besuchsrecht alle zwei Wochen. Er behauptet, seine Kinder viel häufiger zu sehen, als zivilrechtlich vereinbart worden war. Zu beachten ist indessen, dass der Beschwerdeführer seit seiner Wegweisung im Jahr 2013 bis zum Zeitpunkt des vorinstanzlichen Urteils keine substanzielle Änderung der Betreuungssituation erwirkte. Die behauptete - für eine Wiedererwägung nicht hinreichend dokumentierte - Intensivierung der Beziehung würde vorab auf der Tatsache gründen, dass er seiner rechtskräftigen Wegweisungsverfügung auch nach Ablauf der Ausreisefrist keine Folge leistete. Sodann ist er durch Gewalttätigkeiten gegenüber seiner Ehegattin mehrfach strafrechtlich in Erscheinung getreten und erfüllt die Voraussetzungen des klaglosen Verhaltens nicht (vgl. BGE 139 I 315 E. 2.2 S. 319; Urteile 2C_828/2012 vom 26. März 2013 E. 2.2; 2C_1039/2012 vom 16. Februar 2013 E. 3.3). Weiter fällt in Betracht, dass er weiterhin von der Sozialhilfe abhängig ist und keine Unterhaltsbeiträge für seine Kinder bezahlt; es besteht keine enge wirtschaftliche Beziehung im Sinne der Rechtsprechung (vgl. BGE 139 I 315 E. 2.2 und 2.5 S. 319 und S. 322). Der Beschwerdeführer erfüllt die kumulativ zu erfüllenden Erfordernisse eines Bewilligungsanspruchs des besuchsberechtigten Elternteils gestützt auf Art. 8 EMRK und Art. 13 BV nach wie vor nicht. Eine wesentliche Änderung der Sachlage ergibt sich aus den vorgebrachten Umständen - wie die Vorinstanz in korrekter Weise erwog - nicht (vgl. BGE 136 II 177 E. 2 S. 181 f.; hiervor E. 2.1).</w:t>
      </w:r>
    </w:p>
    <w:p>
      <w:r>
        <w:rPr>
          <w:b/>
        </w:rPr>
        <w:t>E. 3</w:t>
      </w:r>
    </w:p>
    <w:p>
      <w:r>
        <w:t>Nach dem Gesagten ist die Beschwerde als unbegründet abzuweisen. Neue tatsächliche Vorbringen bilden nicht Gegenstand des bundesgerichtlichen Verfahrens ( Art. 99 BGG ). Sie können im Wiedererwägungsverfahren, das im Kanton bereits hängig ist, berücksichtigt werden (vgl. Sachverhalt Ziff. D).</w:t>
      </w:r>
    </w:p>
    <w:p>
      <w:r>
        <w:t>Der Beschwerdeführer ersucht um unentgeltliche Rechtspflege und Verbeiständung. Die Voraussetzungen nach Art. 64 BGG sind jedoch nicht erfüllt, da die Beschwerde aussichtslos erschien. Die Gerichtskosten sind dem Beschwerdeführer zu auferlegen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