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2C_107/2015 vom 18. Juni 2015</w:t>
      </w:r>
    </w:p>
    <w:p>
      <w:r>
        <w:t>Bundesgericht, 2015-06-18, FR</w:t>
      </w:r>
    </w:p>
    <w:p>
      <w:r>
        <w:rPr>
          <w:b/>
        </w:rPr>
        <w:t xml:space="preserve">Quelle: </w:t>
      </w:r>
      <w:r>
        <w:t>https://mcp.opencaselaw.ch/entscheid/bger_2C_107_2015</w:t>
      </w:r>
    </w:p>
    <w:p>
      <w:r>
        <w:t>FR: TF 2C_107/2015 du 18 juin 2015</w:t>
      </w:r>
    </w:p>
    <w:p>
      <w:r>
        <w:t>IT: TF 2C_107/2015 del 18 giugno 2015</w:t>
      </w:r>
    </w:p>
    <w:p>
      <w:pPr>
        <w:pStyle w:val="Heading2"/>
      </w:pPr>
      <w:r>
        <w:t>Erwägungen</w:t>
      </w:r>
    </w:p>
    <w:p>
      <w:r>
        <w:rPr>
          <w:b/>
        </w:rPr>
        <w:t>E. 1</w:t>
      </w:r>
    </w:p>
    <w:p>
      <w:r>
        <w:t>Le présent litige concerne la décision du Tribunal cantonal de ne pas allouer de dépens à la recourante ayant obtenu entièrement gain de cause dans une affaire relative à une taxation au titre du droit de mutation.</w:t>
      </w:r>
    </w:p>
    <w:p>
      <w:r>
        <w:t>Dirigé contre une décision finale ( art. 90 LTF ) rendue par une autorité cantonale judiciaire supérieure de dernière instance ( art. 86 al. 1 let . d et al. 2 LTF) dans une cause de droit public ( art. 82 let. a LTF ), le présent recours ne tombe pas sous le coup d'une des exceptions mentionnées à l' art. 83 LTF . Déposé en temps utile ( art. 46 al. 1 let . c et 100 al. 1 LTF) et en la forme prévue ( art. 42 LTF ) par la contribuable, destinataire de l'arrêt attaqué qui a un intérêt digne de protection à l'annulation ou à la modification de celui-ci ( art. 89 al. 1 LTF ), le recours en matière de droit public est en principe recevable.</w:t>
      </w:r>
    </w:p>
    <w:p>
      <w:r>
        <w:rPr>
          <w:b/>
        </w:rPr>
        <w:t>E. 2</w:t>
      </w:r>
    </w:p>
    <w:p>
      <w:r>
        <w:t>Sans expressément citer l' art. 97 al. 1 LTF , la recourante invoque en premier lieu un établissement incomplet des faits.</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Selon la recourante, le Tribunal cantonal n'a pas pris en compte la procuration versée au dossier et a donc faussement jugé qu'il n'existait pas de rapport de mandat entre Y.________, Y.________ Steuerberatung &amp; Treuhand et elle-même.</w:t>
      </w:r>
    </w:p>
    <w:p>
      <w:r>
        <w:t>Il est douteux que la motivation quant à ce point soit suffisante et remplisse les conditions de l' art. 106 al. 2 LTF . Quand bien même il conviendrait d'entrer en matière, ce grief devrait de toute façon être rejeté. En effet, contrairement à ce qu'affirme la recourante, le Tribunal cantonal a bel et bien admis un rapport de représentation, donc tenu compte de la procuration précitée, en ce qu'il a indiqué dans le rubrum de son arrêt que X.________ AG était représentée par Y.________, Y.________ Steuerberatung &amp; Treuhand. Il a en outre également communiqué son arrêt au représentant et pas à la recourante. Le recours, sur ce point, doit par conséquent être rejeté.</w:t>
      </w:r>
    </w:p>
    <w:p>
      <w:r>
        <w:rPr>
          <w:b/>
        </w:rPr>
        <w:t>E. 3</w:t>
      </w:r>
    </w:p>
    <w:p>
      <w:r>
        <w:t>La recourante fait ensuite valoir que les juges cantonaux ont violé l'art. 55 de la loi vaudoise du 28 octobre 2008 sur la procédure administrative (LPA/VD; RSV 173.36) et que partant, ils ont agi arbitrairement. Elle invoque également une inégalité de traitement et une violation du principe de la légalité.</w:t>
      </w:r>
    </w:p>
    <w:p>
      <w:r>
        <w:rPr>
          <w:b/>
        </w:rPr>
        <w:t>E. 3.1</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w:t>
      </w:r>
    </w:p>
    <w:p>
      <w:r>
        <w:t>En l'espèce, en tant que la recourante désirerait directement se plaindre d'une violation de l' art. 55 LPA /VD, son recours devrait être déclaré irrecevable. Elle semble toutefois vouloir expliquer que l'application de cette disposition faite par le Tribunal cantonal est arbitraire et conduit à une inégalité de traitement.</w:t>
      </w:r>
    </w:p>
    <w:p>
      <w:r>
        <w:rPr>
          <w:b/>
        </w:rPr>
        <w:t>E. 3.2</w:t>
      </w:r>
    </w:p>
    <w:p>
      <w:r>
        <w:t>La recourante ne démontre pas en quoi elle aurait été traitée différemment d'un autre justiciable par le Tribunal cantonal. Elle se contente d'alléguer, de manière purement appellatoire, qu'au vu d'autres cas, il est ici question d'inégalité de traitement et de violation du principe de la légalité. Cette motivation ne répond aucunement aux conditions de l' art. 106 al. 1 LTF et son recours, sur ce point, doit être déclaré irrecevable.</w:t>
      </w:r>
    </w:p>
    <w:p>
      <w:r>
        <w:rPr>
          <w:b/>
        </w:rPr>
        <w:t>E. 3.3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3.4</w:t>
      </w:r>
    </w:p>
    <w:p>
      <w:r>
        <w:t>En l'occurrence, le Tribunal cantonal a considéré que le représentant de la recourante avait agi devant lui en tant qu'administrateur et pas en tant que mandataire, raison pour laquelle celui-ci ne pouvait prétendre à des dépens. La recourante explique quant à elle qu'en application de l' art. 55 al. 1 LPA /VD, qui dispose qu'en procédure de recours et de révision, l'autorité alloue une indemnité à la partie qui obtient totalement ou partiellement gain de cause, en remboursement des frais qu'elle a engagés pour défendre ses intérêts, elle avait droit au versement de dépens. Elle explique au surplus que compte tenu du comportement de l'Administration cantonale, notamment sa réticence à établir les faits, son mandataire a passé beaucoup de temps sur ce dossier.</w:t>
      </w:r>
    </w:p>
    <w:p>
      <w:r>
        <w:rPr>
          <w:b/>
        </w:rPr>
        <w:t>E. 3.5</w:t>
      </w:r>
    </w:p>
    <w:p>
      <w:r>
        <w:t>La société Y.________ Steuerberatung &amp; Treuhand est une entreprise individuelle dont le titulaire, avec signature individuelle, est Y.________. Ce dernier est également membre du conseil d'administration de la recourante et bénéficie de la signature collective à deux pour cette société. Avec son collègue président du conseil d'administration, il a d'ailleurs signé la procuration donnant mandat à AS&amp;T Y.________ Steuerberatung &amp; Treuhand de représenter la recourante en justice.</w:t>
      </w:r>
    </w:p>
    <w:p>
      <w:r>
        <w:t>Par conséquent, c'est sans arbitraire, en application des dispositions cantonales en matière de procédure administrative, que l'autorité précédente a considéré que Y.________ agissait en tant qu'administrateur et a refusé le versement d'une indemnité à la recourante. Y.________, qui représentait cette dernière en justice, était effectivement l'un de ses organes. Cette solution est pleinement soutenable, étant entendu que la personne qui siège dans un conseil d'administration constitue l'organe qui représente d'office une société anonyme (cf. ATF 121 I 259 consid. 3a). Ne bénéficiant que d'une signature collective à deux, il était nécessaire à Y.________ qu'un autre membre du conseil d'administration de la recourante donne son accord à une représentation unique. C'est donc sans arbitraire que le Tribunal cantonal a considéré la procuration jointe au recours comme une simple délégation de compétence. Il n'est en tout cas pas arbitraire non plus de refuser d'allouer une indemnité de partie à une personne agissant seule devant une autorité judiciaire, c'est-à-dire, s'agissant d'une personne morale telle que la recourante, qui agit par ses organes. Au demeurant, que Y.________ ait passé un temps important en faveur de cette cause ne permet pas de rendre la décision de l'autorité précédente arbitraire sur ce point, pas plus que le refus de prendre en compte de prétendus frais de traduction, élément ne ressortant de toute façon pas des faits retenus dans l'arrêt contesté et liant le Tribunal fédéral ( art. 105 al. 1 LTF ; cf. consid. 2 ci-dessus).</w:t>
      </w:r>
    </w:p>
    <w:p>
      <w:r>
        <w:rPr>
          <w:b/>
        </w:rPr>
        <w:t>E. 4</w:t>
      </w:r>
    </w:p>
    <w:p>
      <w:r>
        <w:t>Les considérants qui précèdent conduisent au rejet du recours dans la mesure où il est recevable. 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