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2C_1074/2012 vom 25. März 2013</w:t>
      </w:r>
    </w:p>
    <w:p>
      <w:r>
        <w:t>Bundesgericht, 2013-03-25, FR</w:t>
      </w:r>
    </w:p>
    <w:p>
      <w:r>
        <w:rPr>
          <w:b/>
        </w:rPr>
        <w:t xml:space="preserve">Quelle: </w:t>
      </w:r>
      <w:r>
        <w:t>https://mcp.opencaselaw.ch/entscheid/bger_2C_1074_2012</w:t>
      </w:r>
    </w:p>
    <w:p>
      <w:r>
        <w:t>FR: TF 2C_1074/2012 du 25 mars 2013</w:t>
      </w:r>
    </w:p>
    <w:p>
      <w:r>
        <w:t>IT: TF 2C_1074/2012 del 25 marzo 2013</w:t>
      </w:r>
    </w:p>
    <w:p>
      <w:pPr>
        <w:pStyle w:val="Heading2"/>
      </w:pPr>
      <w:r>
        <w:t>Erwägungen</w:t>
      </w:r>
    </w:p>
    <w:p>
      <w:r>
        <w:rPr>
          <w:b/>
        </w:rPr>
        <w:t>E. 1.1</w:t>
      </w:r>
    </w:p>
    <w:p>
      <w:r>
        <w:t>Le recours est irrecevable contre les décisions en matière de droit des étrangers qui concernent une autorisation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t>En l'espèce, invoquant l' art. 8 CEDH , le recourant se prévaut de sa relation avec sa fille C.________ de nationalité suisse. Son recours par conséquent échappe aux exceptions de l' art. 83 let . ch. 2 LTF. La question de savoir si c'est ou non à juste titre que l'Instance précédente a confirmé le refus de l'autorité intimée de renouveler son autorisation de séjour en Suisse ressortit au fond et non à la recevabilité (cf. ATF 136 II 177 consid. 1.1 p. 179).</w:t>
      </w:r>
    </w:p>
    <w:p>
      <w:r>
        <w:rPr>
          <w:b/>
        </w:rPr>
        <w:t>E. 1.2</w:t>
      </w:r>
    </w:p>
    <w:p>
      <w:r>
        <w:t>Le recourant a épousé après le dépôt du présent recours une ressortissante suisse, mère de sa fille C.________, avec lesquelles il vit en ménage commun. Cette circonstance, nouvelle, n'a pas pour effet de rendre sans objet son recours en matière de droit public puisque la décision confirmée par l'arrêt attaqué se fonde essentiellement sur les motifs de révocation respectivement de refus de renouveler l'autorisation de l'art. 62 let. b et c LEtr en tenant compte des droits garantis par l' art. 8 CEDH .</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2.1</w:t>
      </w:r>
    </w:p>
    <w:p>
      <w:r>
        <w:t>Aux termes de l' art. 99 LTF , aucun fait nouveau ni preuve nouvelle ne peut être présenté à moins de résulter de la décision de l'autorité précédente.</w:t>
      </w:r>
    </w:p>
    <w:p>
      <w:r>
        <w:rPr>
          <w:b/>
        </w:rPr>
        <w:t>E. 2.2</w:t>
      </w:r>
    </w:p>
    <w:p>
      <w:r>
        <w:t>Les deux "avenants" datés l'un du 18 mai 2010 et l'autre du 4 juillet 2011 établis entre lui-même et Y.________ respectivement son fils B.________ sont des preuves nouvelles irrecevables, pour l'une du reste non signée, du moment que le recourant lui-même s'est prévalu en procédure de recours cantonale des relations qu'il alléguait entretenir avec ses enfants et qu'il lui appartenait déjà à ce moment-là de démontrer. Il s'ensuit que ces éléments de faits ne résultent pas de la décision de l'autorité précédente.</w:t>
      </w:r>
    </w:p>
    <w:p>
      <w:r>
        <w:rPr>
          <w:b/>
        </w:rPr>
        <w:t>E. 3</w:t>
      </w:r>
    </w:p>
    <w:p>
      <w:r>
        <w:t>Invoquant l'interdiction de l'arbitraire de l' art. 9 Cst. en relation avec l' art. 8 CEDH , le recourant se plaint de ce que l'Instance précédente n'aurait pris en compte ni la thérapie ambulatoire qu'il a accepté de suivre et qui réduirait le risque de récidive ni sa situation familiale et professionnelle. Ce faisant, elle aurait constaté les faits de manière lacunaire, voire erronée et partant procédé à une pesée des intérêts arbitraire.</w:t>
      </w:r>
    </w:p>
    <w:p>
      <w:r>
        <w:rPr>
          <w:b/>
        </w:rPr>
        <w:t>E. 3.1</w:t>
      </w:r>
    </w:p>
    <w:p>
      <w:r>
        <w:t>Le recours ne peut critiquer les constatations de fait que si les faits ont été établis de façon manifestement inexacte ou en violation du droit au sens de l'art. 95, et si la correction du vice est susceptible d'influer sur le sort de la cause ( art. 97 al. 1 LTF ).</w:t>
      </w:r>
    </w:p>
    <w:p>
      <w:r>
        <w:rPr>
          <w:b/>
        </w:rPr>
        <w:t>E. 3.2</w:t>
      </w:r>
    </w:p>
    <w:p>
      <w:r>
        <w:t>Le recourant soutient en premier lieu que le droit de se prévaloir de l' art. 8 CEDH ne repose pas uniquement sur ses relations avec C.________ et la mère de celle-ci mais également sur celles qu'il entretient avec A.________ et B.________. Ce grief est rejeté. Il a été jugé par l'Instance précédente que la qualité des relations dont se prévaut le recourant avec ses fils A.________ et B.________ n'a pas été démontrée en procédure cantonale. Pour le reste, les preuves destinées à établir la teneur de ces relations, produites directement devant le Tribunal fédéral, sont irrecevables (cf. consid. 2 ci-dessus).</w:t>
      </w:r>
    </w:p>
    <w:p>
      <w:r>
        <w:t>Le recourant soutient que l'Instance précédente n'a pris en compte ni la thérapie individuelle ni le contrat de travail de duré indéterminée dont il bénéficie depuis le 17 avril 2012, ce qui rendrait inexistant le risque de récidive. Ce grief doit être rejeté. L'instance précédente a en effet retenu l'existence de ce contrat de travail (arrêt attaqué, en fait, p. 5) ainsi que celle de la thérapie ambulatoire et les a prises en considération dans la pesée des intérêts qui a englobé également l'appréciation du risque de récidive (arrêt attaqué, en droit consid. 3b, p. 11).</w:t>
      </w:r>
    </w:p>
    <w:p>
      <w:r>
        <w:rPr>
          <w:b/>
        </w:rPr>
        <w:t>E. 3.3</w:t>
      </w:r>
    </w:p>
    <w:p>
      <w:r>
        <w:t>Il n'est par conséquent pas possible de s'écarter des faits retenus par l'Instance précédente. Il s'ensuit que la pesée des intérêts effectuées par l'Instance précédente, contre laquelle le recourant ne soulève aucun autre grief ( art. 106 al. 2 LTF ), ne saurait être qualifiée d'arbitraire dans ces conditions. Pour le surplus, l'Instance précédente a exposé le droit et la jurisprudence et correctement motivé le refus de prolonger l'autorisation de séjour du recourant dans les considérants de l'arrêt attaqué auxquels il peut par conséquent être renvoyé ( art. 109 al. 3 LTF ). A supposer que l'on puisse prendre en considération le récent mariage du recourant, ce qui n'est pas le cas ( art. 99 LTF ), la pesée des intérêts effectuée par l'Instance précédente demeure fondée du moment que Z.________ a épousé ce dernier en con-naissance des décisions de renvoi prononcées à son encontre.</w:t>
      </w:r>
    </w:p>
    <w:p>
      <w:r>
        <w:rPr>
          <w:b/>
        </w:rPr>
        <w:t>E. 4</w:t>
      </w:r>
    </w:p>
    <w:p>
      <w:r>
        <w:t>Le recourant se plaint de la violation des 30 al. 1 let. b LEtr ainsi que 83 LEtr.</w:t>
      </w:r>
    </w:p>
    <w:p>
      <w:r>
        <w:rPr>
          <w:b/>
        </w:rPr>
        <w:t>E. 4.1</w:t>
      </w:r>
    </w:p>
    <w:p>
      <w:r>
        <w:t>Le recours en matière de droit public étant irrecevable contre les décisions en matière de droit des étrangers qui concernent l'admission provisoire et les dérogations aux conditions d'admission ( art. 83 let . c ch. 3 et 5 LTF), seul le recours constitutionnel subsidiaire est ouvert contre la décision cantonale de dernière instance ( art. 113 LTF ). Dans ce cas, le recourant doit déposer les deux recours, en matière de droit public et constitutionnel subsidiaire, dans un seul mémoire ( art. 119 al. 1 LTF ) et le Tribunal fédéral statue sur les deux recours dans la même procédure ( art. 119 al. 2 LTF ). Il examine les griefs invoqués selon les dispositions applicables au type de recours concerné ( art. 119 al. 3 LTF ).</w:t>
      </w:r>
    </w:p>
    <w:p>
      <w:r>
        <w:rPr>
          <w:b/>
        </w:rPr>
        <w:t>E. 4.2</w:t>
      </w:r>
    </w:p>
    <w:p>
      <w:r>
        <w:t>La qualité pour former un recours constitutionnel subsidiaire suppose toutefois un "intérêt juridique" à l'annulation ou à la modification de la décision attaquée ( art. 115 let. b LTF ).</w:t>
      </w:r>
    </w:p>
    <w:p>
      <w:r>
        <w:rPr>
          <w:b/>
        </w:rPr>
        <w:t>E. 4.3</w:t>
      </w:r>
    </w:p>
    <w:p>
      <w:r>
        <w:t>Le recourant, qui ne dispose pas, en cas d'obstacles à son renvoi, d'un droit à ce que le canton demande une admission provisoire à l'Office fédéral qui est exclusivement compétent pour décider en cette matière ( ATF 137 II 305 ) et qui ne peut se prévaloir de l'art. 30 al. 1 let. b LEtr au vu de sa formulation potestative,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ou, en matière de renvoi, selon la jurisprudence ( ATF 137 II 305 ), de la violation de droits constitutionnels spécifiques (protection de la vie humaine, protection contre les traitements cruels, inhumains ou dégradants, etc.).</w:t>
      </w:r>
    </w:p>
    <w:p>
      <w:r>
        <w:t>En l'espèce, le recourant ne se plaint de la violation d'aucun droit de partie équivalant à un déni de justice formel ni de la violation d'un droit constitutionnel spécifique. Les griefs sont par conséquent irrecevables.</w:t>
      </w:r>
    </w:p>
    <w:p>
      <w:r>
        <w:rPr>
          <w:b/>
        </w:rPr>
        <w:t>E. 5</w:t>
      </w:r>
    </w:p>
    <w:p>
      <w:r>
        <w:t>Les considérants qui précèdent conduisent au rejet du recours dans la mesure où il est recevable. Considéré comme recours constitutionnel subsidiaire, le recours est irrecevable. Succombant, le recourant doit supporter les frais de la procédure fédérale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