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2C_1072/2016 vom 28. November 2016</w:t>
      </w:r>
    </w:p>
    <w:p>
      <w:r>
        <w:t>Bundesgericht, 2016-11-28, FR</w:t>
      </w:r>
    </w:p>
    <w:p>
      <w:r>
        <w:rPr>
          <w:b/>
        </w:rPr>
        <w:t xml:space="preserve">Quelle: </w:t>
      </w:r>
      <w:r>
        <w:t>https://mcp.opencaselaw.ch/entscheid/bger_2C_1072_2016</w:t>
      </w:r>
    </w:p>
    <w:p>
      <w:r>
        <w:t>FR: TF 2C_1072/2016 du 28 novembre 2016</w:t>
      </w:r>
    </w:p>
    <w:p>
      <w:r>
        <w:t>IT: TF 2C_1072/2016 del 28 novembre 2016</w:t>
      </w:r>
    </w:p>
    <w:p>
      <w:pPr>
        <w:pStyle w:val="Heading2"/>
      </w:pPr>
      <w:r>
        <w:t>Erwägungen</w:t>
      </w:r>
    </w:p>
    <w:p>
      <w:r>
        <w:rPr>
          <w:b/>
        </w:rPr>
        <w:t>E. 1</w:t>
      </w:r>
    </w:p>
    <w:p>
      <w:r>
        <w:t>Par arrêt du 17 octobre 2016, le Tribunal cantonal du canton de Vaud a rejeté le recours que X.________, ressortissant du Kosovo, a interjeté contre la décision du 7 juillet 2015 du Service de la population du canton de Vaud refusant de lui octroyer une autorisation de séjour, notamment pour traitement médical.</w:t>
      </w:r>
    </w:p>
    <w:p>
      <w:r>
        <w:rPr>
          <w:b/>
        </w:rPr>
        <w:t>E. 2</w:t>
      </w:r>
    </w:p>
    <w:p>
      <w:r>
        <w:t>Par courrier du 15 novembre 2016, X.________ demande au Tribunal fédéral d'annuler l'arrêt rendu le 17 octobre 2016 par le Tribunal cantonal du canton de Vaud et de lui délivrer une autorisation de séjour. Il expose sa situation personnelle, demande à rester en Suisse pour bénéficier de l'aide d'urgence et précise devoir vivre avec beaucoup de séquelles de son accident de travail en Suisse.</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les art. 27 ss LEtr, notamment l'art. 29 LEtr relatif au séjour pour traitement médical, dont la formulation est potestative, ne confèrent pas de droit de séjour au recourant. Son mémoire doit donc être considéré comme un recours constitutionnel subsidiaire pour violations des droits constitutionnels. Le recourant n'invoque toutefois la violation d'aucun droit constitutionnel.</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