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1072/2014 vom 9. Juli 2015</w:t>
      </w:r>
    </w:p>
    <w:p>
      <w:r>
        <w:t>Bundesgericht, 2015-07-09, DE</w:t>
      </w:r>
    </w:p>
    <w:p>
      <w:r>
        <w:rPr>
          <w:b/>
        </w:rPr>
        <w:t xml:space="preserve">Quelle: </w:t>
      </w:r>
      <w:r>
        <w:t>https://mcp.opencaselaw.ch/entscheid/bger_2C_1072_2014</w:t>
      </w:r>
    </w:p>
    <w:p>
      <w:r>
        <w:t>FR: TF 2C 1072/2014 du 9 juillet 2015</w:t>
      </w:r>
    </w:p>
    <w:p>
      <w:r>
        <w:t>IT: TF 2C 1072/2014 del 9 luglio 2015</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2C_575/2013 vom 7. Februar 2014 E. 1.1). Die Beschwerdeführerin macht geltend, während ihrer Ehe mit ihrem zweiten Ehemann Opfer häuslicher Gewalt geworden zu sein, weshalb ein nachehelicher Härtefall vorliege und ihr gestützt auf Art. 50 Abs. 1 lit. b AuG ein Anspruch auf Verlängerung ihrer Aufenthaltsbewilligung zustehe. Die Beschwerde ist zulässig und die Beschwerdeführerin dazu legitimiert ( Art. 89 Abs. 1 BGG ). Auf die Beschwerde ist, vorbehältlich der Erfüllung der Rüge- und Begründungspflicht, einzutreten. Nicht einzutreten ist auf die gleichzeitig erhobene subsidiäre Verfassungsbeschwerde ( Art. 113 BGG ).</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 Diesfalls weist das Bundesgericht die Sache regelmässig zu neuer oder weiterer Sachverhaltsfeststellung an die Vorinstanz zurück ( Art. 107 Abs. 2 BGG ; MEYER/DORMANN, Basler Kommentar zum Bundesgerichtsgesetz, 2. Aufl. 2011, N. 12 zu Art. 106 BGG ). Geht der zu ergänzende Sachverhalt jedoch eindeutig und unter gewahrtem Gehörsanspruch der Betroffenen aus den Akten hervor, käme eine Rückweisung an die Vorinstanz zur weiteren Sachverhaltsfeststellung einem unnötigen Leerlauf gleich, weshalb das Bundesgericht die erforderlichen Sachverhaltsfeststellungen auch selbst vornehmen kann ( Art. 105 Abs. 2 BGG ; Art. 107 Abs. 2 BGG ; BGE 131 II 470 E. 2 S. 476; CORBOZ, Commentaire de la LTF, 2. Aufl. 2014, N. 19 zu Art. 107 BGG ).</w:t>
      </w:r>
    </w:p>
    <w:p>
      <w:r>
        <w:rPr>
          <w:b/>
        </w:rPr>
        <w:t>E. 2</w:t>
      </w:r>
    </w:p>
    <w:p>
      <w:r>
        <w:t>Die Beschwerdeführerin rügt die vorinstanzliche Sachverhaltsfeststellung, insbesondere deren Beweiswürdigung. Auf Grund der Akten hätte festgehalten werden müssen, dass ihr Ehemann C.________ kurz nach der Eheschliessung damit begonnen habe, sie systematisch zu bedrohen, zu schlagen und einzuschüchtern, weswegen sie sich seit Dezember 2012 in psychiatrischer Behandlung befinde. Im Februar 2013 sei sie, was sich ebenfalls den Akten entnehmen lasse, wegen Vernachlässigung von "Ehepflichten" durch ihren Ehemann in einem Ausmass verprügelt worden, dass die Nachbarn die Polizei gerufen hätten. Sie habe Prellungen, Blutergüsse, Bisswunden, multiple Schmerzen, Prellungen an der Halswirbelsäule, an der Bauchwand und an der vorderen Rippe erlitten. Infolge dieser häuslichen Gewalt sei der Ehemann aus der Wohnung weggewiesen und Gewaltschutzmassnahmen ergriffen worden. Nach seiner Rückkehr habe sie der Ehemann aktenkundig unter Druck gesetzt, die Bewilligung zu "stoppen", wenn sie sich nicht seinen Vorstellungen gemäss verhalte. Sie sei nicht sofort in der Lage gewesen, sich umgehend von ihrem Ehemann zu distanzieren, weil sie von den Behörden betreffend ihre schwierige Situation und ihres weiteren Aufenthalts keine Hilfe erwarten konnte. Die Beschwerdeführerin macht zusammenfassend geltend, bei willkürfreier vorinstanzlicher Sachverhaltsfeststellung hätte die Vorinstanz zum Ergebnis gelangen müssen, dass die Voraussetzungen für eine Bewilligungserteilung gestützt auf Art. 50 Abs. 1 lit. b und Abs. 2 AuG erfüllt seien.</w:t>
      </w:r>
    </w:p>
    <w:p>
      <w:r>
        <w:rPr>
          <w:b/>
        </w:rPr>
        <w:t>E. 2.1</w:t>
      </w:r>
    </w:p>
    <w:p>
      <w:r>
        <w:t>Gemäss Art. 50 Abs. 1 lit. b AuG besteht nach Auflösung der Ehe oder der Familiengemeinschaft ein Anspruch auf Erteilung oder Verlängerung einer Aufenthaltsbewilligung des (geschiedenen) Ehepartners einer Schweizerin oder eines Schweizers (Art. 42 AuG) oder einer niederlassungsberechtigten Person (Art. 43 AuG) weiter, wenn wichtige Gründe einen weiteren Aufenthalt in der Schweiz erforderlich machen. Solche wichtigen Gründe liegen insbesondere bei häuslicher Gewalt oder bei stark gefährdeter sozialer Wiedereingliederung im Heimatstaat vor (Art. 50 Abs. 2 AuG). Die eheliche Gewalt einerseits und die starke Gefährdung der sozialen Wiedereingliederung im Herkunftsland andererseits stellen praxisgemäss je für sich allein einen wichtigen persönlichen Grund im Sinne von Art. 50 Abs. 1 lit. b AuG dar; die beiden Elemente sind nicht kumulativ zu verstehen ( BGE 138 II 229 E. 3.2.2 S. 234 f.; 136 II 1 E. 5 S. 3 ff.; Urteil 2C_221/2011 vom 30. Juli 2011 E. 2). Dies schliesst indessen nicht aus, im Einzelfall beide Elemente zu berücksichtigen und den Härtefall auch zu bejahen, wenn diese je für sich selber hierzu nicht genügen würden, ihre Kombination aber wertungsmässig einem wichtigen persönlichen Grund im Sinne von Art. 50 Abs. 1 lit. b AuG gleichkommt.</w:t>
      </w:r>
    </w:p>
    <w:p>
      <w:r>
        <w:rPr>
          <w:b/>
        </w:rPr>
        <w:t>E. 2.2</w:t>
      </w:r>
    </w:p>
    <w:p>
      <w:r>
        <w:t>Der Gesetzgeber hatte beim Erlass der genannten Härtefallregelung namentlich gewaltbetroffene Migrantinnen im Auge (vgl. Voten Vermot-Mangold, Menétrey-Savary und Thanei, AB 2004 N 1062 ff., vgl. auch ANGELA BRYNER, in: Uebersax/Rudin/Hugi Yar/Geiser [Hrsg], Ausländerrecht, 2. Aufl., N. 27.39). Schutzziel von Art. 50 Abs. 1 lit. b in Verbindung mit Abs. 2 AuG sind Opfer von familiärer Gewalt. Darunter fällt nach der Rechtsprechung unter anderem jede Form ehelicher bzw. häuslicher Gewalt, sei sie körperlicher oder psychischer Natur ( BGE 138 II 229 E. 3.2.1 S. 232 f.; Urteile 2C_155/2011 vom 7. Juli 2011 E. 4.3; vgl. etwa auch den Bericht des Bundesrates vom 13. Mai 2009 über Gewalt in Paarbeziehungen, BBl 2009 4087 ff., 4111 f.). Häusliche Gewalt bedeutet systematische Misshandlung mit dem Ziel, Macht und Kontrolle auszuüben und nicht eine einmalige Ohrfeige oder eine verbale Beschimpfung im Verlauf eines eskalierenden Streits (vgl. BGE 138 II 229 E. 3.2.1 S. 233; 136 II 1 E. 5 S. 3 ff. mit Hinweisen; dazu auch die Antwort von Bundesrätin Widmer-Schlumpf vom 14. Juni 2010 zu den Geschäftsnummern 10.5275-10.5277 in AB 2010 N 929 f. sowie die Antwort des Bundesrates vom 17. September 2010 zur Motion 10.3515 Roth-Bernasconi "Schutz von Migrantinnen, die Opfer ehelicher Gewalt wurden"; Urteile des Bundesgerichts 2C_803/2010 vom 14. Juni 2011 E. 2.3.2; 2C_540/2009 vom 26. Februar 2010 E. 2.2 - 2.4 und 2C_590/2010 vom 29. November 2010 E. 2.5.2 in fine; SPESCHA, in: Migrationsrecht, Spescha/Thür/Zünd/Bolzli [Hrsg.], 3. Aufl. 2012, N. 10 zu Art. 50 AuG; CARONI, in: Bundesgesetz über die Ausländerinnen und Ausländer [AuG], Caroni/Gächter/Thurnherr [Hrsg.], 2010, N. 32 zu Art. 50 AuG). Ein Anspruch nach Art. 50 Abs. 1 lit. b AuG wird nicht bereits durch eine einmalige tätliche Auseinandersetzung begründet, in deren Folge die betroffene Person in psychischem Ausnahmezustand und mit mehreren Kratzspuren im Gesicht einen Arzt aufsucht, zumal wenn anschliessend eine Wiederannäherung der Eheleute stattfindet (Urteil 2C_690/2010 vom 25. Januar 2011 E. 3.2). Das Gleiche gilt bei einer Ausweisung aus einer Wohnung nach einer Auseinandersetzung, wenn das Opfer keine körperlichen oder psychischen Schäden erleidet (Urteil 2C_358/2009 vom 10. Dezember 2009 E. 4.2 und E. 5.2). Die physische oder psychische Zwangsausübung und deren Auswirkungen müssen vielmehr von einer gewissen Konstanz bzw. Intensität sein.</w:t>
      </w:r>
    </w:p>
    <w:p>
      <w:r>
        <w:rPr>
          <w:b/>
        </w:rPr>
        <w:t>E. 2.3</w:t>
      </w:r>
    </w:p>
    <w:p>
      <w:r>
        <w:t>Auch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S. 233; Urteil 2C_221/2011 vom 30. Juli 2011 E. 2).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Der nachgezogene Ehepartner oder das Kind soll sich namentlich nicht aus Angst vor dem Verlust des Anwesenheitsrechts gezwungen sehen, mit dem Familienangehörigen zusammen zu bleiben, der ihm gegenüber Gewalt ausübt (Urteil 2C_365/2010 vom 22. Juni 2011 E. 3.3; vgl. auch AB 2005 S 310, Votum Brunner, und AB 2004 N 1062-1064, Voten Vermot-Mangold, Menétrey-Savary und Thanei). Die Abhängigkeit des Opfers häuslicher Gewalt bzw. psychischer Oppression vom Täter soll durch die Bewilligungsfrage nicht verstärkt und die gewaltbetroffene nachgezogene Person nicht vor das Dilemma gestellt werden, in der Zwangssituation verbleiben oder den Verlust des Aufenthaltsrechts hinnehmen zu müssen (vgl. DUBACHER/REUSSER, Häusliche Gewalt und Migrantinnen, 2011, S. 12 und 26 ff.). Dabei ist eine Gesamtbetrachtung vorzunehmen. Es handelt sich hierbei um einen Ausfluss der sich aus dem Verfassungs- und Konventionsrecht ergebenden staatlichen Schutzpflichten (Art. 7 und Art. 35 Abs. 1 und 3 BV sowie Art. 3 [Schutz vor unwürdiger, erniedrigender Behandlung] und Art. 8 [Schutz des Privatlebens: Freie Gestaltung der Lebensführung] EMRK; vgl. etwa GRABENWARTHER/PABEL, Europäische Menschenrechtskonvention, 5. Aufl. 2012, N. 1 und 50 ff. zu § 22; MEYER-LADEWIG, EMRK, 3. Aufl. 2011, N. 2 und 6 zu Art. 8 EMRK ). Beeinträchtigt ein Gatte in schwerwiegender Weise andauernd grundlegende, verfassungs- und menschenrechtlich relevante Positionen des andern, hat der Staat dessen Recht, sich dem entsprechenden oppressiven privaten Verhalten zu entziehen, im Migrationszusammenhang insofern Rechnung zu tragen, als er keine unzumutbar hohen Anforderungen an einen möglichen Verbleib im Land stellen darf (vgl. auch KÄLIN, Grundrechte im Kulturkonflikt, 2000, S. 186). Hierzu dient die ein selbständiges Anwesenheitsrecht begründende Regelung von Art. 50 Abs. 1 lit. b i.V.m. Abs. 2 AuG; sie ist den entsprechenden verfassungs- und konventionsrechtlichen Schutzpflichten entsprechend auszulegen ( BGE 138 II 229 E. 3.2.2 S. 234).</w:t>
      </w:r>
    </w:p>
    <w:p>
      <w:r>
        <w:rPr>
          <w:b/>
        </w:rPr>
        <w:t>E. 2.4</w:t>
      </w:r>
    </w:p>
    <w:p>
      <w:r>
        <w:t>Die ausländische Person trifft bei den Feststellungen des entsprechenden Sachverhalts eine weitreichende Mitwirkungspflicht ( BGE 138 II 229 E. 3.2.3 S. 235; 126 II 335 E. 2b/cc S. 342; 124 II 361 E. 2b S. 365).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vgl. auch die Weisungen des Staatssekretariats für Migration [SEM; vormals Bundesamt für Migration] zum Familiennachzug, Ziff. 6.15.3).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 BGE 138 II 229 E. 3.2.3 S. 235).</w:t>
      </w:r>
    </w:p>
    <w:p>
      <w:r>
        <w:rPr>
          <w:b/>
        </w:rPr>
        <w:t>E. 3.1</w:t>
      </w:r>
    </w:p>
    <w:p>
      <w:r>
        <w:t>Als Beweis für die erlittene häusliche Gewalt offerierte die Beschwerdeführerin im vorinstanzlichen Verfahren insbesondere die Verfügung der Kantonspolizei Zürich vom 9. Februar 2013 betreffend Gewaltschutzmassnahmen (Wegweisung-, Betret- und Kontaktverbot), ein ärztliches Zeugnis vom 9. Februar 2013 und ein ärztliches Zeugnis vom 19. September 2013. Die Vorinstanz gelangte zusammenfassend zum Ergebnis, aus den eingereichten Unterlagen gehe nicht glaubhaft hervor, dass die Beschwerdeführerin seitens ihres zweiten Ehemannes eheliche Gewalt erlitten habe. Wiederholte Übergriffe, erhebliche Gewalt und psychischer Druck würden nicht objektiv nachvollziehbar dargelegt respektive beweismässig genügend unterlegt. Die Beschwerdeführerin verfüge im Zusammenhang mit erlittener häuslicher Gewalt über keinen aus Art. 50 Abs. 1 lit. b und Abs. 2 AuG abgeleiteten Aufenthaltsanspruch.</w:t>
      </w:r>
    </w:p>
    <w:p>
      <w:r>
        <w:rPr>
          <w:b/>
        </w:rPr>
        <w:t>E. 3.2.1</w:t>
      </w:r>
    </w:p>
    <w:p>
      <w:r>
        <w:t>Der Schluss der Vorinstanz, aus den ins Recht gelegten Dokumenten gehe häusliche Gewalt nicht glaubhaft hervor, ist offensichtlich unhaltbar. Die diensthabende Ärztin der Notfallaufnahme attestierte am 9. Februar 2013, die Beschwerdeführerin habe eine Prellung und einen Bluterguss an den Lippen, Schmerzen im Bereich des Unterkiefers, Schmerzen an der Halswirbelsäule, Blutergüsse an den Oberarmen, beidseitige Bisswunden mit Bluterguss am Unterarm sowie Prellungen an der Bauchwand und den unteren vorderen Rippen erlitten. Wegen dieser gegen die Beschwerdeführerin ausgeübten Gewalt verfügte die Kantonspolizei gleichentags gestützt auf § 3 Abs. 1 des kantonalen Gewaltschutzgesetzes (GSG/ZH) gegen den Ehemann ein Wegweisung-, Betret- und Kontaktverbot und informierte die Beratungsstelle Opferhilfe über den Vorfall. Die Vorinstanz hat offensichtlich die Tragweite und den Sinn der ins Recht gelegten Beweismittel verkannt und ist dadurch in Willkür verfallen ( Art. 9 BV ). In Berichtigung des durch die Vorinstanz festgestellten Sachverhalts ist in tatsächlicher Hinsicht festzustellen, dass die Beschwerdeführerin durch ihren zweiten Ehemann, C.________, massive häusliche Gewalt erlitten hat.</w:t>
      </w:r>
    </w:p>
    <w:p>
      <w:r>
        <w:rPr>
          <w:b/>
        </w:rPr>
        <w:t>E. 3.2.2</w:t>
      </w:r>
    </w:p>
    <w:p>
      <w:r>
        <w:t>Die Verletzungen, welche der zweite Ehemann C.________ der Beschwerdeführerin wegen Missachtung von "Ehepflichten" zugefügt hat, können unter den unbestimmten Rechtsbegriff der häuslichen Gewalt im Sinne von Art. 50 Abs. 1 lit. b in Verbindung mit Art. 50 Abs. 2 AuG subsumiert werden. Die Anspruchsvoraussetzungen für eine Verlängerung der Aufenthaltsbewilligung der Beschwerdeführerin wegen häuslicher Gewalt im Sinne von Art. 50 Abs. 1 lit. b und Abs. 2 AuG sind somit erfüllt, sofern der Beschwerdeführerin nicht wegen Rechtsmissbrauchs die Berufung darauf verweigert werden muss (vgl. zum Rechtsmissbrauch BGE 128 II 145 E. 2.2 S. 151 f.; mittlerweile kodifiziert in Art. 51 Abs. 2 lit. a AuG). Angesichts dessen, dass die selbstständige Anspruchsvoraussetzung der häuslichen Gewalt als wichtiger Grund für die Verlängerung einer Aufenthaltsbewilligung (oben, E. 2.1) erfüllt ist, muss eine Gefährdung der sozialen Wiedereingliederung der Beschwerdeführerin in ihrem Heimatstaat nicht geprüft werden.</w:t>
      </w:r>
    </w:p>
    <w:p>
      <w:r>
        <w:rPr>
          <w:b/>
        </w:rPr>
        <w:t>E. 3.3</w:t>
      </w:r>
    </w:p>
    <w:p>
      <w:r>
        <w:t>Die Vorinstanz erwog, der kantonalen Direktion sei darin beizupflichten, dass das Verhalten der Beschwerdeführerin und die zeitliche Abfolge des Geschehens einen gewissen rechtsmissbräuchlichen Charakter aufweise und nicht auszuschliessen sei, dass die Beschwerdeführerin den Vorwurf häuslicher Gewalt für ihren Aufenthaltsstatus instrumentalisiert habe. Welches Verhalten der Beschwerdeführerin und inwiefern der zeitliche Ablauf des Geschehens Indizien darauf enthalten sollten, dass die Beschwerdeführerin das Institut der nachehelichen Härtefallregelung zweckwidrig in Anspruch zu nehmen gedenkt, geht aus der vorinstanzlichen Urteilsbegründung nicht hervor. Die Beschwerdeführerin hat zweifelsohne massive häusliche Gewalt in Form von physischen Verletzungen durch ihren Ehemann erfahren; dass die erlittenen Verletzungen zwecks Erlangung einer Aufenthaltsbewilligung vorgetäuscht worden wären, ist weder dargetan noch ersichtlich. Der blosse Umstand, dass die Beschwerdeführerin vor das Dilemma gestellt war, in dieser Zwangssituation bei ihrem gewalttätigen Ehemann zu verbleiben oder den Verlust des Aufenthaltsrechts hinnehmen zu müssen, und in diesem Dilemma zunächst an ihrer Ehe festhielt, begründet keine zweckwidrige Inanspruchnahme der nachehelichen Härtefallregelung. Der Gesetzgeber hat diesem Dilemma, in welchem sich gewaltbetroffene Personen befinden, mit der Regelung von Art. 50 Abs. 1 lit. b und Abs. 2 AuG gerade Rechnung tragen wollen, weshalb das Verhalten der Beschwerdeführerin nicht als rechtsmissbräuchlich bezeichnet werden kann (vgl. oben, E. 2.3). Die grundrechtlichen staatlichen Schutzpflichten gegenüber der Beschwerdeführerin (Art. 7 und Art. 35 Abs. 1 und 3 BV ; sowie Art. 3 und Art. 8 EMRK ), insbesondere der Schutz vor unwürdiger, erniedrigender Behandlung, erfordern vielmehr, an den Aufenthaltsanspruch der Beschwerdeführerin keine zu hohen Anforderungen zu stellen (oben, E. 2.3). Der Beschwerdeführerin ist die Berufung auf Art. 50 Abs. 1 lit. b und Abs. 2 AuG nicht verwehrt, und die Anspruchsvoraussetzungen dieser Bestimmung sind erfüllt, weshalb ihre Beschwerde sich als begründet erweist.</w:t>
      </w:r>
    </w:p>
    <w:p>
      <w:r>
        <w:rPr>
          <w:b/>
        </w:rPr>
        <w:t>E. 4</w:t>
      </w:r>
    </w:p>
    <w:p>
      <w:r>
        <w:t>Die Beschwerde in öffentlich-rechtlichen Angelegenheiten wird gutgeheissen, das angefochtene Urteil aufgehoben und das kantonale Migrationsamt angewiesen, die Aufenthaltsbewilligung der Beschwerdeführerin zu verlängern. Auf die erhobene subsidiäre Verfassungsbeschwerde wird nicht eingetreten. Bei diesem Verfahrensausgang werden keine Gerichtskosten erhoben ( Art. 66 Abs. 4 BGG ). Der Kanton Zürich hat der Beschwerdeführerin für das bundesgerichtliche und das vorinstanzliche Verfahren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