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2C_106/2021 vom 25. Juni 2021</w:t>
      </w:r>
    </w:p>
    <w:p>
      <w:r>
        <w:t>Bundesgericht, 2021-06-25, DE</w:t>
      </w:r>
    </w:p>
    <w:p>
      <w:r>
        <w:rPr>
          <w:b/>
        </w:rPr>
        <w:t xml:space="preserve">Quelle: </w:t>
      </w:r>
      <w:r>
        <w:t>https://mcp.opencaselaw.ch/entscheid/bger_2C_106_2021</w:t>
      </w:r>
    </w:p>
    <w:p>
      <w:r>
        <w:t>FR: TF 2C_106/2021 du 25 juin 2021</w:t>
      </w:r>
    </w:p>
    <w:p>
      <w:r>
        <w:t>IT: TF 2C_106/2021 del 25 giugno 2021</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 Indessen ist auf dem Gebiet des Ausländerrechts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potentiell ein solcher Anspruch besteht ( BGE 136 II 177 E. 1.1, 497 E. 3.3).</w:t>
      </w:r>
    </w:p>
    <w:p>
      <w:r>
        <w:rPr>
          <w:b/>
        </w:rPr>
        <w:t>E. 1.2</w:t>
      </w:r>
    </w:p>
    <w:p>
      <w:r>
        <w:t>Der Beschwerdeführer, als zur Zeit der Gesuchseinreichung minderjähriger Sohn von in der Schweiz niedergelassenen Personen, macht in vertretbarer Weise einen potentiellen Bewilligungsanspruch geltend ( Art. 43 Abs. 1 und Art. 47 AIG [SR 142.20; bis 31. Dezember 2018 AuG]), so dass insoweit die Beschwerde in öffentlich-rechtlichen Angelegenheiten zulässig ist. Ob der geltend gemachte Anspruch tatsächlich besteht, ist Sache der materiellen Beurteilung. Da der Beschwerdeführer als Adressat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1.3</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In Bezug auf die Verletzung von Grundrechten gilt eine qualifizierte Rüge- und Substanziierungspflicht ( Art. 106 Abs. 2 BGG ; BGE 139 I 229 E. 2.2; 136 II 304 E. 2.5).</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145 II 322 E. 1.4; 139 II 404 E. 10.1 mit Hinweisen). Zur Sachverhaltsfeststellung gehört auch die auf Indizien gestützte Beweiswürdigung ( BGE 140 I 114 E. 3.3.4).</w:t>
      </w:r>
    </w:p>
    <w:p>
      <w:r>
        <w:rPr>
          <w:b/>
        </w:rPr>
        <w:t>E. 1.5</w:t>
      </w:r>
    </w:p>
    <w:p>
      <w:r>
        <w:t>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E. 2.3 mit Hinweisen).</w:t>
      </w:r>
    </w:p>
    <w:p>
      <w:r>
        <w:rPr>
          <w:b/>
        </w:rPr>
        <w:t>E. 2</w:t>
      </w:r>
    </w:p>
    <w:p>
      <w:r>
        <w:t>Der Beschwerdeführer bringt vorab vor, dass die Vorinstanz seinen Anspruch auf rechtliches Gehör ( Art. 29 Abs. 2 BV ) verletzt habe, indem sie wesentliche Beweise nicht abgenommen bzw. nicht habe abnehmen lassen und seine formellen Rügen gegenüber den unteren Instanzen (Amt für Migration; Justiz- und Sicherheitsdepartement) abgewiesen habe, wobei er insbesondere den Verzicht auf seine persönliche Anhörung beanstandet. Zudem bringt er eine stattliche Anzahl weiterer Normen vor, welche die Vorinstanz im Zusammenhang mit der Gehörsverletzung ebenfalls missachtet habe. Neben verschiedenen kantonalen Verfahrensbestimmungen nennt er u.a. Art. 9 BV (Willkürverbot), Art. 13 EMRK (Anspruch auf eine wirksame Beschwerde) sowie Art. 12 KRK (Gebot der Anhörung des Kindes). Jedoch substantiiert der Beschwerdeführer diese Rügen grösstenteils nicht weiter und das Bundesgericht geht im Folgenden nur soweit darauf ein, als sie den gesetzlichen Anforderungen entsprechend begründet sind ( Art. 106 Abs. 2 BGG ).</w:t>
      </w:r>
    </w:p>
    <w:p>
      <w:r>
        <w:rPr>
          <w:b/>
        </w:rPr>
        <w:t>E. 2.1</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 Es handelt sich um ein persönlichkeitsbezogenes Mitwirkungsrecht (vgl. BGE 138 V 125 E. 2.1 ; 134 I 140 E. 5.3 ; 127 I 54 E. 2b ; 126 I 97 E. 2b) im Sinne einer verfassungsmässigen Mindestgarantie ( BGE 129 II 497 E. 2.2 mit Hinweisen; zum ganzen Urteil 2C_104/2013 / 2C_105/2013 vom 27. September 2013 E. 1).</w:t>
      </w:r>
    </w:p>
    <w:p>
      <w:r>
        <w:rPr>
          <w:b/>
        </w:rPr>
        <w:t>E. 2.2</w:t>
      </w:r>
    </w:p>
    <w:p>
      <w:r>
        <w:t>Nach der bundesgerichtlichen Praxis zur Begründungspflicht im Rahmen des Anspruchs auf rechtliches Gehör ( Art. 29 BV ) ist es nicht erforderlich, dass die Behörde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141 IV 249 E. 1.3.1 mit Hinweisen). Der Gehörsanspruch umfasst namentlich auch das Recht der betroffenen Person, sich vor Erlass eines in ihre Rechtsstellung eingreifenden Entscheids zur Sache zu äussern sowie das Recht auf Abnahme der angebotenen rechtserheblichen Beweismittel (vgl. BGE 133 I 270 E. 3.1). Der Anspruch auf rechtliches Gehör gemäss Art. 29 Abs. 2 BV schliesst jedoch kein grundsätzliches Recht auf mündliche Anhörung ein ( BGE 134 I 140 E. 5.3; 130 II 425 E. 2.1; vgl. zum Ganzen Urteil 2C_909/2019 vom 7. April 2020 E. 3.2). 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w:t>
      </w:r>
    </w:p>
    <w:p>
      <w:r>
        <w:t>Die Beweiswürdigung, selbst wenn sie auf Indizien beruht, und die sich daraus ergebenden tatsächlichen Schlussfolgerungen stellen Tatfragen dar ( BGE 133 V 477 E. 6.1 E. 3.2; 132 V 393 E. 3.3; Urteil 2C_353/2013 vom 23. Oktober 2013 E. 3.3). Solche sind unter dem beschränkten Gesichtswinkel der Willkür zu prüfen (vorne E. 1.4).</w:t>
      </w:r>
    </w:p>
    <w:p>
      <w:r>
        <w:rPr>
          <w:b/>
        </w:rPr>
        <w:t>E. 2.3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2.3.2; BGE 136 V 117 E. 4.2.2.2; BGE 133 I 201 E. 2.2).</w:t>
      </w:r>
    </w:p>
    <w:p>
      <w:r>
        <w:rPr>
          <w:b/>
        </w:rPr>
        <w:t>E. 2.4</w:t>
      </w:r>
    </w:p>
    <w:p>
      <w:r>
        <w:t>Nach dem soeben Gesagten hat das Verwaltungsgericht - wie auch die anderen Vorinstanzen - auf eine mündliche Anhörung verzichten dürfen, wenn der Beschwerdeführer seinen Standpunkt wirksam zur Geltung bringen konnte, die Vorinstanz aufgrund der schriftlichen Eingaben des Beschwerdeführers ihre Überzeugung gebildet hat und diese durch die Erkenntnisse der mündlichen Anhörung nicht geändert würde (vgl. Urteil 2C_163/2020 vom 14. Mai 2020 E. 3.5).</w:t>
      </w:r>
    </w:p>
    <w:p>
      <w:r>
        <w:rPr>
          <w:b/>
        </w:rPr>
        <w:t>E. 2.4.1</w:t>
      </w:r>
    </w:p>
    <w:p>
      <w:r>
        <w:t>Der Beschwerdeführer ist vor dem Hintergrund der bundesgerichtlichen Rechtsprechung zur mündlichen Anhörung der Meinung, dass er seinen Standpunkt gar nicht erst habe wirksam zur Geltung bringen können, weil sowohl das Amt für Migration als auch das Justiz- und Sicherheitsdepartement verschiedene seiner Beweisanträge zu ergänzenden Berichten, Abklärungen und Zeugenbefragungen zu seiner gesundheitlichen Situation (Schwere der Depression), sowie zur Unmöglichkeit einer adäquaten Betreuung und Unterstützung in der Heimat in unzulässiger antizipierter Beweiswürdigung abgewiesen hätten. Dies obschon hinreichend klare und bedeutsame Beweise bestanden hätten, welche seine Standpunkte zumindest hätten stützen und als glaubwürdig erscheinen lassen können. Eine solche Ausübung einer antizipierten Beweiswürdigung sei verfassungsrechtlich nicht haltbar.</w:t>
      </w:r>
    </w:p>
    <w:p>
      <w:r>
        <w:rPr>
          <w:b/>
        </w:rPr>
        <w:t>E. 2.4.2</w:t>
      </w:r>
    </w:p>
    <w:p>
      <w:r>
        <w:t>Dieses Vorgehen sei durch die Vorinstanz fälschlicherweise geschützt worden und diese habe zudem selber ebenfalls verschiedene seiner Beweisanträge abgelehnt. Gestützt auf diese mangelhafte Abklärung des Sachverhalts hätten sämtliche Vorinstanzen auf eine persönliche Anhörung verzichtet, obschon eine solche geboten gewesen wäre. Bestünden nämlich Zweifel am Vorliegen wichtiger Gründe im Sinne von Art. 47 Abs. 4 AIG , müsse eine mündliche Anhörung zwingend erfolgen. Nur so könne die betroffene Person sämtliche Aspekte einbringen und habe die Behörde die Möglichkeit, kritische Fragen zu stellen und sich ein persönliches Bild zu machen.</w:t>
      </w:r>
    </w:p>
    <w:p>
      <w:r>
        <w:rPr>
          <w:b/>
        </w:rPr>
        <w:t>E. 2.4.3</w:t>
      </w:r>
    </w:p>
    <w:p>
      <w:r>
        <w:t>Weil der Anspruch, persönlich angehört zu werden, nicht generell besteht (vorne E. 2.2), obliegt es der Partei, die sich darauf beruft, darzulegen, inwiefern es unter den gegebenen Umständen entscheidend ist, dass das Gericht einen persönlichen Eindruck als solchen über die Partei gewinnen kann ( BGE 142 I 188 E. 3.3).</w:t>
      </w:r>
    </w:p>
    <w:p>
      <w:r>
        <w:t>Im vorliegenden Verfahren konnten der Beschwerdeführer und seine Eltern ihre Sicht der Dinge betreffend das Vorliegen wichtiger familiärer Gründe für einen Familiennachzug gemäss Art. 47 Abs. 4 AIG mittels ihres Rechtsvertreters ohne Weiteres umfassend in das Verfahren einbringen. Der Beschwerdeführer hat von diesen Möglichkeiten ausführlich Gebrauch gemacht, wie dies neben den umfangreichen Rechtsschriften auch die zahlreichen persönlich verfassten Schreiben, eidesstattliche Erklärungen von Familienangehörigen und Arztzeugnisse belegen. Insbesondere sein Gesundheitszustand ist gestützt auf die Arztberichte vom 26. Dezember 2018 und 22. Juli 2019 gut dokumentiert. Inwiefern er im Rahmen einer mündlichen Anhörung genauere Angaben als die ärztlichen Fachberichte hätte machen können, ist nicht ersichtlich und es werden auch keine solchen Gründe substanziiert vorgebracht. Im Weiteren haben sowohl sein Onkel als auch sein Bruder schriftliche Stellungnahmen über ihre Möglichkeiten zur Unterstützung des Beschwerdeführers in seiner Heimat eingereicht und seine persönliche Situation in der Heimat ist ausgiebig dokumentiert. Ebenso konnten die Eltern ihre Betreuungsmöglichkeiten in der Schweiz ausführlich darlegen. Vor diesem Hintergrund ist es nur schwer vorstellbar, dass die Anhörung des Beschwerdeführers durch die Vorinstanz bzw. durch eine der beiden unteren Instanzen zusätzliche neue Erkenntnisse gebracht und einen entscheidenden Einfluss auf den Verfahrensausgang gehabt hätte (vgl. Urteil 2C_909/2019 vom 7. April 2020 E. 3.4.4). Insgesamt begnügt sich der Beschwerdeführer weitgehend damit, eine persönliche Schilderung seiner Lebensumstände einzufordern. Dadurch ist jedoch nicht ersichtlich, inwiefern eine mündliche Befragung notwendig wäre und welche neuen Erkenntnisse gegenüber den schriftlichen Ausführungen gewonnen werden könnte.</w:t>
      </w:r>
    </w:p>
    <w:p>
      <w:r>
        <w:rPr>
          <w:b/>
        </w:rPr>
        <w:t>E. 2.4.4</w:t>
      </w:r>
    </w:p>
    <w:p>
      <w:r>
        <w:t>Zusammenfassend ist nach dem Dargelegten festzuhalten, dass weder die Vorinstanz noch die vorgelagerten Behörden eine willkürliche antizipierte Beweiswürdigung vorgenommen haben, indem sie im Hinblick auf die Beurteilung des Gesundheitszustands des Beschwerdeführers sowie seiner gut dokumentierten Gesamtsituation auf eine persönliche Anhörung verzichtet haben. Die Rüge der Verletzung des rechtlichen Gehörs erweist sich in dieser Hinsicht als unbegründet.</w:t>
      </w:r>
    </w:p>
    <w:p>
      <w:r>
        <w:t>Sowohl bei der vorinstanzlichen Feststellung des Sachverhalts als auch bei der Wahrung des persönlichkeitsbezogenen Mitwirkungsrechts der Beschwerdeführer sind keine formellen Mängel und auch keine willkürliche antizipierte Beweiswürdigung zu erkennen.</w:t>
      </w:r>
    </w:p>
    <w:p>
      <w:r>
        <w:rPr>
          <w:b/>
        </w:rPr>
        <w:t>E. 2.5</w:t>
      </w:r>
    </w:p>
    <w:p>
      <w:r>
        <w:t>Eine persönliche Anhörung des Beschwerdeführers durch die Vorinstanz ist auch gestützt auf Art. 12 Abs. 2 des Übereinkommens vom 20. November 1989 über die Rechte des Kindes (KRK; SR 0.107) nicht zwingend angezeigt. Wie soeben gesehen, konnte der Beschwerdeführer seine Interessen, die vorliegend mit denjenigen der Eltern übereinstimmen, hinreichend in das Verfahren einbringen ( BGE 147 I 149 E. 3.2 f.; Urteil 2C_356/2014 vom 27. August 2014 E. 4.1). Unter diesen Umständen muss auch nicht beantwortet werden, ob sich der Beschwerdeführer nach seiner Volljährigkeit überhaupt noch auf diese Konvention berufen kann.</w:t>
      </w:r>
    </w:p>
    <w:p>
      <w:r>
        <w:rPr>
          <w:b/>
        </w:rPr>
        <w:t>E. 2.6</w:t>
      </w:r>
    </w:p>
    <w:p>
      <w:r>
        <w:t>Die zahlreichen weiteren Rügen des Beschwerdeführers betreffend der Verletzung seines Anspruchs auf rechtliches Gehör stehen im Zusammenhang mit der durch die Vorinstanz, dem Amt für Migration und der Justiz- und Sicherheitsdirektion vorgenommenen antizipierten Beweiswürdigung. Diese sollen verschiedene seiner Beweisanträge nicht berücksichtigt bzw. deren Ablehnung nicht ausreichend begründet haben. Die Vorinstanz habe ebenfalls Gehörsverletzungen begangen, indem sie die Vorgehensweise der vorgelagerten Behörden pauschal schützte oder auf seine Rügen gar nicht erst eingegangen sei, womit sich der angefochtene Entscheid diesbezüglich auch als mangelhaft begründet erweise.</w:t>
      </w:r>
    </w:p>
    <w:p>
      <w:r>
        <w:rPr>
          <w:b/>
        </w:rPr>
        <w:t>E. 2.6.1</w:t>
      </w:r>
    </w:p>
    <w:p>
      <w:r>
        <w:t>Diesen Rügen des Beschwerdeführers ist einerseits gemeinsam, dass sie kaum ausreichend substantiiert sind. Dazu müsste die Beschwerdeschrift selbst die wesentlichen Tatsachen und eine kurz gefasste Darlegung darüber enthalten, welche verfassungsmässigen Rechte verletzt worden sind. Rügen werden durch das Bundesgericht nur insofern geprüft, als sie in der Beschwerde präzise vorgebracht, begründet und soweit möglich belegt worden sind ( BGE 133 III 545 E. 2.2; NICOLAS VON WERDT, in: Bundesgerichtsgesetz (BGG), 2. Aufl. 2015, N. 15 zu Art. 106 BGG ). Der Beschwerdeführer begnügt sich mit der allgemeinen Erwähnung der Verletzung des rechtlichen Gehörs in Zusammenhang mit pauschalen Verweisen auf verschiedene Ziffern in seiner Verwaltungsgerichtsbeschwerde an die Vorinstanz, welche teilweise wiederum auf die Verwaltungsbeschwerde vor dem Justiz- und Sicherheitsdepartement weiterverweisen. Er unterlässt es jedoch, die Rügen in nachvollziehbarer Weise zu umschreiben, welche die Vorinstanz angeblich nicht gehört habe, und auszuführen, weshalb die anbegehrten Beweismassnahmen zu hören gewesen wären.</w:t>
      </w:r>
    </w:p>
    <w:p>
      <w:r>
        <w:t>Andererseits stehen die Beanstandungen - soweit ersichtlich - in Zusammenhang mit der antizipierten Beweiswürdigung betreffend des Verzichts auf die persönliche Anhörung des Beschwerdeführers, welche wie soeben gesehen (vorne E. 2.6), in zulässiger Weise erfolgte. Sämtliche Vorinstanzen haben die notwendigen Beweise abgenommen und es wurde dem Beschwerdeführer durchwegs zugestanden, seine Sicht der Dinge in umfassender Weise in das Verfahren einzubringen. Dadurch wurde sein Anspruch auf rechtliches Gehör gewahrt; dass die verschiedenen Vorinstanzen dabei nicht die selben Schlüsse gezogen haben wie er, vermag wiederum keine willkürliche Sachverhaltsfeststellung zu belegen (vorne E. 1.5).</w:t>
      </w:r>
    </w:p>
    <w:p>
      <w:r>
        <w:rPr>
          <w:b/>
        </w:rPr>
        <w:t>E. 2.6.2</w:t>
      </w:r>
    </w:p>
    <w:p>
      <w:r>
        <w:t>Im Weiteren trifft der Vorwurf des Beschwerdeführers nicht zu, die Vorinstanz 2 habe keine Verhältnismässigkeitsprüfung gemäss Art. 8 EMRK vorgenommen, sondern nur Art. 47 Abs. 1 AIG berücksichtigt und seine diesbezügliche Rüge sei durch die Vorinstanz einfach ignoriert worden. Der Entscheid des Justiz- und Sicherheitsdepartements behandelt auch die Voraussetzungen von Art. 8 EMRK und darüber hinaus wäre ein diesbezüglicher Mangel durch die Vorinstanz geheilt worden (vorne E. 2.4), welche ebenfalls eine umfassende Interessenabwägung vorgenommen hat - auch wenn sie nicht zu Gunsten des Beschwerdeführers ausgefallen ist.</w:t>
      </w:r>
    </w:p>
    <w:p>
      <w:r>
        <w:rPr>
          <w:b/>
        </w:rPr>
        <w:t>E. 2.6.3</w:t>
      </w:r>
    </w:p>
    <w:p>
      <w:r>
        <w:t>Ebenso unzutreffend ist schliesslich der Vorwurf, dass die Vorinstanz fälschlicherweise davon ausgegangen sei, der Beschwerdeführer könne durch seinen Bruder betreut werden. Vielmehr hat sie im angefochtenen Entscheid festgehalten, der Bruder könne den Beschwerdeführer unterstützen, in welcher Art auch immer (zur notwendigen Betreuung des Beschwerdeführers siehe hinten E. 3.5).</w:t>
      </w:r>
    </w:p>
    <w:p>
      <w:r>
        <w:rPr>
          <w:b/>
        </w:rPr>
        <w:t>E. 2.7</w:t>
      </w:r>
    </w:p>
    <w:p>
      <w:r>
        <w:t>Die Rüge der Verletzung des rechtlichen Gehörs erweist sich insgesamt als unbegründet. Ob die Vorinstanz die entsprechenden Interessen und Sachverhaltsumstände zutreffend gewertet hat, ist keine Frage des rechtlichen Gehörs, sondern bildet Thema der rechtlichen Beurteilung.</w:t>
      </w:r>
    </w:p>
    <w:p>
      <w:r>
        <w:rPr>
          <w:b/>
        </w:rPr>
        <w:t>E. 3.1</w:t>
      </w:r>
    </w:p>
    <w:p>
      <w:r>
        <w:t>Ein Anspruch auf Familiennachzug gestützt auf Art. 8 EMRK besteht vorliegend nicht, da der Beschwerdeführer inzwischen volljährig ist (vgl. BGE 145 I 227 ) und kein besonderes Abhängigkeitsverhältnis geltend gemacht wird. Ein solches ist gemäss bundesgerichtlicher Praxis nicht leichthin anzunehmen und kann sich aus Betreuungs- oder Pflegebedürfnissen bei körperlichen oder geistigen Behinderungen und schwerwiegenden Krankheiten ergeben. Allein das Vorliegen eines Pflege- und Betreuungsbedürfnisses genügt nicht; erforderlich ist zusätzlich, dass die betreffende Pflege- und Betreuungsleistung unabdingbar von den in der Schweiz anwesenheitsberechtigten Angehörigen erbracht werden muss (vgl. Urteil 2C_757/2019 vom 21. April 2020 E. 2.2.1 mit Hinweisen).</w:t>
      </w:r>
    </w:p>
    <w:p>
      <w:r>
        <w:t>Den Behörden kann auch keine Rechtsverzögerung vorgeworfen werden, die ausnahmsweise trotz inzwischen eingetretener Volljährigkeit die Berufung auf Art. 8 EMRK zuliesse (vgl. Urteil 2C_325/2019 vom 3. Februar 2020 E. 2.2).</w:t>
      </w:r>
    </w:p>
    <w:p>
      <w:r>
        <w:rPr>
          <w:b/>
        </w:rPr>
        <w:t>E. 3.2</w:t>
      </w:r>
    </w:p>
    <w:p>
      <w:r>
        <w:t>Ein grundsätzlicher Anspruch auf Familiennachzug ergibt sich hingegen aus Art. 43 AIG : Ausländische Ehegatten und ledige Kinder unter 18 Jahren von Personen mit Niederlassungsbewilligung haben unter den in Art. 43 Abs. 1-3 AIG genannten Voraussetzungen Anspruch auf Erteilung und Verlängerung der Aufenthaltsbewilligung. Für die Altersgrenze von 18 Jahren ist der Zeitpunkt der Gesuchseinreichung massgebend ( BGE 136 II 497 E. 3). Hier wurde das Gesuch am 10. April 2018 eingereicht, also zu einem Zeitpunkt, als der Beschwerdeführer noch nicht 18-jährig war. Ein Anspruch nach Art. 43 AIG kommt somit in Betracht (vgl. Urteil 2C_347/2020 vom 5. August 2020 E. 3.2).</w:t>
      </w:r>
    </w:p>
    <w:p>
      <w:r>
        <w:rPr>
          <w:b/>
        </w:rPr>
        <w:t>E. 3.3</w:t>
      </w:r>
    </w:p>
    <w:p>
      <w:r>
        <w:t>Hinsichtlich der Fristen gelten die Regelungen von Art. 47 AIG . Unbestritten ist vorliegend, dass die fünfjährige Nachzugsfrist von Art. 47 Abs. 1 AIG zum Zeitpunkt des für den Beschwerdeführer gestellten Familiennachzugsgesuchs bereits abgelaufen war. Bei einem Familiennachzug ausserhalb der in Art. 47 Abs. 1 AIG angegebenen Fristen müssen wichtige familiäre Gründe bestehen, damit dem Gesuch entsprochen werden kann ( Art. 47 Abs. 4 AIG ). Solche liegen vor, wenn das Kindswohl nur durch einen Nachzug in die Schweiz sachgerecht gewahrt werden kann ( Art. 75 der Verordnung vom 24. Oktober 2007 über Zulassung, Aufenthalt und Erwerbstätigkeit [VZAE; SR 142.201] ). Entgegen dem Wortlaut der Verordnungsbestimmung ist dabei nicht ausschliesslich auf das Kindswohl abzustellen; es bedarf vielmehr einer Gesamtschau unter Berücksichtigung aller relevanten Elemente im Einzelfall (Urteile 2C_909/2019 vom 7. April 2020 E. 4.1 und 4.2; 2C_943/2018 vom 22. Januar 2020 E. 3.2; 2C_323/2018 vom 21. September 2018 E. 8.2.1).</w:t>
      </w:r>
    </w:p>
    <w:p>
      <w:r>
        <w:t>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erwerbsfähigen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Bewilligung des Nachzugs nach Ablauf der Fristen hat nach dem Willen des Gesetzgebers die Ausnahme zu bleiben; dabei ist Art. 47 Abs. 4 Satz 1 AIG (bzw. Art. 75 VZAE ) praxisgemäss jeweils aber dennoch so zu handhaben, dass der Anspruch auf Schutz des Familienlebens nach Art. 8 EMRK bzw. Art. 13 BV nicht verletzt wird (Urteile 2C_943/2018 vom 22. Januar 2020 E. 3.2; 2C_767/2015 vom 19. Februar 2016 E. 5.1.1).</w:t>
      </w:r>
    </w:p>
    <w:p>
      <w:r>
        <w:rPr>
          <w:b/>
        </w:rPr>
        <w:t>E. 3.4</w:t>
      </w:r>
    </w:p>
    <w:p>
      <w:r>
        <w:t>Das Bundesgericht geht mit seiner Praxis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AIG zugrunde liegende legitime Interesse an der Einwanderungsbeschränkung, solange nicht objektive, nachvollziehbare Gründe, welche von den Betroffenen zu bezeichnen und zu rechtfertigen sind, etwas anderes nahelegen (Urteile 2C_323/2018 vom 21. September 2018 E. 8.2.2; 2C_348/2016 vom 17. März 2017 E. 2.3; 2C_914/2014 vom 18. Mai 2015 E. 4.1).</w:t>
      </w:r>
    </w:p>
    <w:p>
      <w:r>
        <w:rPr>
          <w:b/>
        </w:rPr>
        <w:t>E. 3.5</w:t>
      </w:r>
    </w:p>
    <w:p>
      <w:r>
        <w:t>Gemäss verbindlicher Sachverhaltsfeststellung durch die Vorinstanz wohnte der Beschwerdeführer seit seiner Einschulung bei seinem Onkel in Serbien, bis sich dieser krankheitsbedingt ab Ende 2017 nicht weiter um ihn kümmern konnte. Seither lebt der Beschwerdeführer alleine und erkrankte Anfang 2018 an einer aus dieser Betreuungssituation resultierenden Depression.</w:t>
      </w:r>
    </w:p>
    <w:p>
      <w:r>
        <w:t>Der Beschwerdeführer bringt vor, er sei aufgrund seines Charakters, der Psyche und weiterer Umstände nicht oder noch nicht in der Lage, auf eigenen Füssen zu stehen. Durch den Wegfall des Onkels sei er zwischen Stuhl und Bank gefallen. Sein Bruder lebe mittlerweile ein eigenes Leben und sei nicht bereit, ihn aufzunehmen und zu unterstützen. Insgesamt bestünden aufgrund seiner unklaren und nicht gesicherten Betreuungssituation in der Heimat sowie seines schlechten Gesundheitszustands wichtige familiäre Gründe, welche seinen Nachzug auch ausserhalb der Fristen gemäss Art. 47 Abs. 1 AIG rechtfertigen würden.</w:t>
      </w:r>
    </w:p>
    <w:p>
      <w:r>
        <w:rPr>
          <w:b/>
        </w:rPr>
        <w:t>E. 3.5.1</w:t>
      </w:r>
    </w:p>
    <w:p>
      <w:r>
        <w:t>Ein solch wichtiger familiärer Grund liegt beispielsweise vor, wenn die weiterhin notwendige Betreuung der Kinder im Herkunftsland wegen des Todes oder der Krankheit der betreuenden Person nicht mehr gewährleistet ist und keine sinnvolle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(vgl. BGE 137 I 284 E. 2.2 und E. 2.3.1 i.f.; Urteile 2C_555/2019 vom 12. November 2019 E. 6.1; 2C_550/2018 vom 21. Dezember 2018 E. 2.2). Es obliegt im Rahmen ihrer Mitwirkungspflichten der nachzugswilligen Person, die entsprechenden Umstände nicht nur zu behaupten, sondern auch zu belegen (vgl. Art. 90 AIG ; Urteil 2C_917/2019 vom 25. März 2020 E. 5.1.2 mit Hinweisen).</w:t>
      </w:r>
    </w:p>
    <w:p>
      <w:r>
        <w:rPr>
          <w:b/>
        </w:rPr>
        <w:t>E. 3.5.2</w:t>
      </w:r>
    </w:p>
    <w:p>
      <w:r>
        <w:t>Das Bundesgericht hat im Zusammenhang mit dem Familiennachzug bereits früher festgehalten, dass mit zunehmenden Alter der Kinder die gebotene Betreuungsintensität abnimmt (ausführlich dazu Urteil 2C_767/2015 vom 19. Februar 2016 E. 5.3.2 und 5.3.3). Der Beschwerdeführer war im Zeitpunkt der Gesuchstellung noch neun Monate vom Mündigkeitsalter entfernt. Bei dieser Sachlage erschöpft sich das Kindeswohl darin, dass die Eltern dem Kind mit Rat und Tat zur Seite stehen, wenn es erforderlich ist. Diese Unterstützung kann problemlos aus dem Ausland oder durch Besuche gewährleistet werden. Eine Betreuung im Sinn von Überwachung ist in diesem Alter nicht mehr nötig (vgl. Urteil 2C_146/2017 vom 25. Januar 2018 E. 4.4.3). Wie die Vorinstanz in verbindlicher Weise festgestellt hat (vorne E. 1.4), ist die diagnostizierte Depression des Beschwerdeführers wiederum nicht dergestalt, dass er sein Leben gar nicht mehr selber meistern könnte: Trotz seiner gesundheitlichen Probleme war es ihm möglich seine Schul- wie auch erste Berufsbildung als Automechaniker im Jahr 2018 erfolgreich und mit gutem Zeugnis abzuschliessen. Ebenso besuchte er vom 1. Februar 2017 bis am 1. April 2018 an einer Sprachschule eine wöchentliche, vierstündige Vorlesung zur Verbesserung seiner Deutschkenntnisse und schloss diese am 10. Mai 2018 erfolgreich mit dem A2-Zertifikat ab.</w:t>
      </w:r>
    </w:p>
    <w:p>
      <w:r>
        <w:rPr>
          <w:b/>
        </w:rPr>
        <w:t>E. 3.5.3</w:t>
      </w:r>
    </w:p>
    <w:p>
      <w:r>
        <w:t>Es liegen keine Hinweise vor, dass der Beschwerdeführer seine persönlichen Angelegenheiten nur noch mit intensiver Unterstützung Dritter bzw. seiner Eltern bewältigen könnte, auch wenn sich seine gesundheitliche Situation verschlechtert hat. Es bestehen in dieser Hinsicht keine wichtigen familiären Gründe gemäss Art. 47 Abs. 4 AIG , welche einen Nachzug in die Schweiz gebieten würden. Seine Situation präsentiert sich ähnlich wie bei vielen anderen Jugendlichen, die an der Schwelle zum Erwachsenenleben stehen und mit Orientierungslosigkeiten zu kämpfen haben. Auch wenn seine Eltern nicht dauernd vor Ort sein können, ist es ihnen trotzdem möglich, ihrem Sohn mit dem notwendigen Rat und Tat beiseite zu stehen; sei dies mittels moderner Kommunikationsmittel oder auch einem temporären Aufenthalt in der Heimat selbst. So war es einem Elternteil beispielsweise möglich, den Beschwerdeführer bei einem der Arzttermine zu begleiten. Mittels der bestehenden Betreuungssituation ist er ebenfalls in der Lage, die vorhandenen medizinischen Betreuungsangebote in Serbien in Anspruch zu nehmen.</w:t>
      </w:r>
    </w:p>
    <w:p>
      <w:r>
        <w:rPr>
          <w:b/>
        </w:rPr>
        <w:t>E. 3.5.4</w:t>
      </w:r>
    </w:p>
    <w:p>
      <w:r>
        <w:t>Darüber hinaus wurde die Trennung von den Eltern im Kindesalter bewusst herbeigeführt, um den Beschwerdeführer in seinem Heimatland und nicht in der Schweiz zu sozialisieren. Seit Beginn seiner Schulzeit verbringt der Beschwerdeführer einen Grossteil seiner Zeit in Serbien und ist dementsprechend zum grossen Teil in seiner Heimat sozialisiert worden. Mit Blick auf das Kindswohl wäre der Beschwerdeführer bei seiner Integration - trotz seiner behaupteten regelmässigen Aufenthalte in der Schweiz während seinen Schulferien - aufgrund seiner nicht übermässigen Kenntnisse der deutschen Sprache (2. von 6 möglichen Stufen) mit gewissen Problemen konfrontiert. Ohnehin steht aufgrund seines Alters (mittlerweile ist er bereits 20 Jahre alt) nicht mehr die Zusammenführung der (Teil-) Familie im Vordergrund.</w:t>
      </w:r>
    </w:p>
    <w:p>
      <w:r>
        <w:t>Insgesamt sind die bestehenden Betreuungsmöglichkeiten in Serbien angesichts des Alters des Beschwerdeführers zur Wahrung des Kindswohls ausreichend. Jedenfalls sind keine Gründe ersichtlich, weshalb das Kindswohl nur durch einen Nachzug in die Schweiz gewahrt werden könnte (vgl. Art. 75 VZAE ).</w:t>
      </w:r>
    </w:p>
    <w:p>
      <w:r>
        <w:rPr>
          <w:b/>
        </w:rPr>
        <w:t>E. 3.6</w:t>
      </w:r>
    </w:p>
    <w:p>
      <w:r>
        <w:t>Der weitere Vorwurf des Beschwerdeführers, die Vorinstanz habe sich nicht ausreichend mit Art. 8 EMRK auseinandergesetzt, läuft ins Leere. Einerseits kann er sich nur sehr beschränkt auf den Schutz des Familienlebens berufen (vorne E. 3.1) und andererseits hat die Vorinstanz die massgebliche bundesgerichtliche Praxis zu Art. 47 Abs. 4 AIG , welche die relevanten Aspekte von Art. 8 EMRK mitberücksichtigt, in zutreffender Weise wiedergegeben und angewendet.</w:t>
      </w:r>
    </w:p>
    <w:p>
      <w:r>
        <w:t>Aus den allgemeinen Ausführungen des Beschwerdeführers zu den rechtlichen Grundlagen des Kindswohls gestützt auf die UN-Kinderrechtskonvention ergeben sich keine Aspekte, die nicht bereits in der aktuellen bundesgerichtlichen Rechtsprechung Berücksichtigung finden. Die Vorinstanz hat diese in zutreffender Weise wiedergegeben.</w:t>
      </w:r>
    </w:p>
    <w:p>
      <w:r>
        <w:rPr>
          <w:b/>
        </w:rPr>
        <w:t>E. 3.7</w:t>
      </w:r>
    </w:p>
    <w:p>
      <w:r>
        <w:t>Aus dem Gesagten ergibt sich, dass die Verweigerung des Familiennachzugs durch die Vorinstanz rechtmässig ist.</w:t>
      </w:r>
    </w:p>
    <w:p>
      <w:r>
        <w:rPr>
          <w:b/>
        </w:rPr>
        <w:t>E. 4</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