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2C_1066/2019 vom 21. Januar 2020</w:t>
      </w:r>
    </w:p>
    <w:p>
      <w:r>
        <w:t>Bundesgericht, 2020-01-21, FR</w:t>
      </w:r>
    </w:p>
    <w:p>
      <w:r>
        <w:rPr>
          <w:b/>
        </w:rPr>
        <w:t xml:space="preserve">Quelle: </w:t>
      </w:r>
      <w:r>
        <w:t>https://mcp.opencaselaw.ch/entscheid/bger_2C_1066_2019</w:t>
      </w:r>
    </w:p>
    <w:p>
      <w:r>
        <w:t>FR: TF 2C_1066/2019 du 21 janvier 2020</w:t>
      </w:r>
    </w:p>
    <w:p>
      <w:r>
        <w:t>IT: TF 2C_1066/2019 del 21 gennaio 2020</w:t>
      </w:r>
    </w:p>
    <w:p>
      <w:pPr>
        <w:pStyle w:val="Heading2"/>
      </w:pPr>
      <w:r>
        <w:t>Erwägungen</w:t>
      </w:r>
    </w:p>
    <w:p>
      <w:r>
        <w:rPr>
          <w:b/>
        </w:rPr>
        <w:t>E. 1</w:t>
      </w:r>
    </w:p>
    <w:p>
      <w:r>
        <w:t>Par courrier du 22 novembre 2019, posté le 23 novembre 2019, A.________ a déposé un recours auprès du Tribunal administratif fédéral contre l'arrêt rendu par celui-ci le 17 octobre 2019, confirmant le refus, par le Secrétariat d'Etat aux migrations, d'approuver la prolongation de son autorisation de séjour. Le 28 novembre 2019, le Tribunal administratif fédéral a transmis ledit courrier au Tribunal fédéral comme objet de sa compétence.</w:t>
      </w:r>
    </w:p>
    <w:p>
      <w:r>
        <w:rPr>
          <w:b/>
        </w:rPr>
        <w:t>E. 2</w:t>
      </w:r>
    </w:p>
    <w:p>
      <w:r>
        <w:t>Par ordonnance du 29 novembre 2019, postée en courrier recommandé à l'adresse indiquée par l'intéressé sur la première page de son courrier du 22 novembre 2019, la Chancellerie de la IIe Cour de droit public a signalé à celui-ci le défaut de production de l'arrêt de l'autorité précédente et lui a imparti un délai au 9 décembre 2019 pour remédier à cette irrégularité, à défaut de quoi le mémoire ne serait pas pris en considération. Le 23 décembre 2019, en l'absence de réponse de A.________ et après avoir constaté que celui-ci avait indiqué habiter à une autre adresse à la deuxième page du courrier précité, la Chancellerie lui a adressé une seconde ordonnance, dont la teneur était semblable à celle du 29 novembre 2019. Elle lui a imparti un délai au 16 janvier 2020 pour produire l'arrêt entrepris. Par courrier du 16 janvier 2020, A.________ a produit une ordonnance du Tribunal administratif fédéral datée du 13 août 2019 lui demandant de produire divers éléments, ainsi qu'un courrier du Secrétariat d'Etat aux migrations du 30 octobre 2019 lui impartissant un délai de départ. L'intéressé n'a en revanche pas produit l'arrêt contesté.</w:t>
      </w:r>
    </w:p>
    <w:p>
      <w:r>
        <w:rPr>
          <w:b/>
        </w:rPr>
        <w:t>E. 3</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En l'espèce, le recourant n'a pas produit l'arrêt attaqué dans le délai imparti au 16 janvier 2020. Son mémoire ne doit par conséquent pas être pris en considération.</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