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1065/2018 vom 4. Januar 2019</w:t>
      </w:r>
    </w:p>
    <w:p>
      <w:r>
        <w:t>Bundesgericht, 2019-01-04, FR</w:t>
      </w:r>
    </w:p>
    <w:p>
      <w:r>
        <w:rPr>
          <w:b/>
        </w:rPr>
        <w:t xml:space="preserve">Quelle: </w:t>
      </w:r>
      <w:r>
        <w:t>https://mcp.opencaselaw.ch/entscheid/bger_2C_1065_2018</w:t>
      </w:r>
    </w:p>
    <w:p>
      <w:r>
        <w:t>FR: TF 2C 1065/2018 du 4 janvier 2019</w:t>
      </w:r>
    </w:p>
    <w:p>
      <w:r>
        <w:t>IT: TF 2C 1065/2018 del 4 gennaio 2019</w:t>
      </w:r>
    </w:p>
    <w:p>
      <w:pPr>
        <w:pStyle w:val="Heading2"/>
      </w:pPr>
      <w:r>
        <w:t>Regeste</w:t>
      </w:r>
    </w:p>
    <w:p>
      <w:r>
        <w:t>Responsabilité des collectivités publiques et de leurs agents; avance de frais | Responsabilité de l'État</w:t>
      </w:r>
    </w:p>
    <w:p>
      <w:pPr>
        <w:pStyle w:val="Heading2"/>
      </w:pPr>
      <w:r>
        <w:t>Erwägungen</w:t>
      </w:r>
    </w:p>
    <w:p>
      <w:r>
        <w:rPr>
          <w:b/>
        </w:rPr>
        <w:t>E. 1</w:t>
      </w:r>
    </w:p>
    <w:p>
      <w:r>
        <w:t>Par mémoire daté du 24 septembre 2018 remis en mains propres le 26 septembre 2018, Y.________ et X.________ ont déposé auprès du Tribunal cantonal du canton de Fribourg un recours contre la décision du 21 août 2018 de la Direction de la sécurité et de la justice du canton de Fribourg rejetant leur demande de versement d'une indemnité de 300 fr. pour tort moral.</w:t>
      </w:r>
    </w:p>
    <w:p>
      <w:r>
        <w:rPr>
          <w:b/>
        </w:rPr>
        <w:t>E. 2</w:t>
      </w:r>
    </w:p>
    <w:p>
      <w:r>
        <w:t>Par décision du 13 novembre 2018, notifiée à X.________ et Y.________, la Présidente suppléante du Tribunal cantonal du canton de Fribourg a déclaré irrecevable, à défaut d'avance de frais dans le délai imparti, le recours que les intéressés avaient déposé le 26 septembre contre la décision rendue le 21 août 2018 par la Direction de la sécurité et de la justice du canton de Fribourg.</w:t>
      </w:r>
    </w:p>
    <w:p>
      <w:r>
        <w:rPr>
          <w:b/>
        </w:rPr>
        <w:t>E. 3</w:t>
      </w:r>
    </w:p>
    <w:p>
      <w:r>
        <w:t>Par courrier du 29 novembre 2018, X.________ et Y.________ ont déposé un recours auprès du Tribunal fédéral auquel ils demandent que la décision rendue le 13 novembre 2018 par la Présidente suppléante du Tribunal cantonal du canton de Fribourg soit annulée et qu'une nouvelle ordonnance d'avance de frais leur soit notifiée. Après un exposé des faits, ils se plaignent de ce que l'instance précédente a rendu de façon arbitraire et insoutenable une décision, non motivée, le 13 novembre 2018. Ils estiment que cela viole les art. 8, 66 al. 1 let . c, 67 let. a et 100 al. 1 let. 1 ( sic ) CPJA et l' art. 5 al. 2 Cst. , puisqu'ils n'ont pas reçu de réponse à la demande de rectification déposée le 10 octobre 2018. A leur avis, en restant muette à la demande de rectification tendant à ce que l'ordonnance et la facture mentionnent avec exactitude l'objet de la procédure ainsi que l'identité du recourant et en s'abstenant d'informer les recourants du sort de leur requête sur le fond, l'instance précédente a violé l'art. 57 CPJA et l' art. 29 Cst. Le Tribunal cantonal du canton de Fribourg se borne à conclure au rejet du recours.</w:t>
      </w:r>
    </w:p>
    <w:p>
      <w:r>
        <w:rPr>
          <w:b/>
        </w:rPr>
        <w:t>E. 4</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En l'espèce, l'arrêt attaqué n'a porté que sur l'irrecevabilité du recours déposé devant l'instance précédente pour défaut de paiement de l'avance de frais dans le délai imparti, à l'exclusion de toute question relative au fond de la cause, de sorte que les reproches des recourants à l'encontre de l'instance précédente d'avoir "modifié" l'objet du recours qu'ils ont déposé en violation de l' art. 6 CEDH et de ne pas les avoir informés du sort de leur requête sur le fond ne peuvent pas être examinés.</w:t>
      </w:r>
    </w:p>
    <w:p>
      <w:r>
        <w:rPr>
          <w:b/>
        </w:rPr>
        <w:t>E. 5.1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L'arrêt entrepris ne contenant qu'une motivation très sommaire, les faits pertinents seront complétés sur la base des actes ( art. 105 al. 2 LTF ).</w:t>
      </w:r>
    </w:p>
    <w:p>
      <w:r>
        <w:rPr>
          <w:b/>
        </w:rPr>
        <w:t>E. 5.2</w:t>
      </w:r>
    </w:p>
    <w:p>
      <w:r>
        <w:t>Sauf exceptions (cf. art. 95 let . c, d et e LTF), la violation du droit cantonal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les griefs de violation des droits fondamentaux que s'ils sont formulés conformément aux exigences de motivation qualifiées prévues à l' art. 106 al. 2 LTF , c'est-à-dire s'ils ont été invoqués et motivés de manière précise ( ATF 138 V 67 consid. 2.2 p. 69; 136 I 65 consid. 1.3.1 p. 68). La violation alléguée par les recourants de diverses dispositions du CPJA ne peut pas être examinée faute de griefs fondés sur la violation du droit fédéral.</w:t>
      </w:r>
    </w:p>
    <w:p>
      <w:r>
        <w:rPr>
          <w:b/>
        </w:rPr>
        <w:t>E. 6</w:t>
      </w:r>
    </w:p>
    <w:p>
      <w:r>
        <w:t>Invoquant l'art. 5 al. 2 et l' art. 29 Cst. , les recourants se plaignent de la violation de leur droit d'être entendu par l'instance précédente qui serait restée muette à leur demande de rectification tendant à ce que l'ordonnance et la facture mentionnent avec exactitude l'identité du recourant. Ils n'exposent toutefois pas, même de manière succincte, le contenu de ces droits constitutionnels en violation des exigences de motivation accrues de l' art. 106 al. 2 LTF (cf. consid. 5.2 ci-dessus). A supposer toutefois qu'il faille compléter la décision attaquée en mentionnant l'existence d'une demande de rectification, les recourants n'exposent pas en quoi la correction de ce vice, c'est-à-dire, l'absence de mention d'une demande de rectification, aurait une influence sur la décision attaquée dans laquelle, comme ils le demandaient, le nom du recourant est correctement orthographié. Ils ne prétendent pas que l'instance précédente aurait compris de manière insoutenable la demande rectification ou que leur demande de rectification aurait contenu une autre requête de procédure, présentée en bonne et due forme, que l'instance précédente aurait de manière arbitraire ignorée.</w:t>
      </w:r>
    </w:p>
    <w:p>
      <w:r>
        <w:rPr>
          <w:b/>
        </w:rPr>
        <w:t>E. 7</w:t>
      </w:r>
    </w:p>
    <w:p>
      <w:r>
        <w:t>Les recourants se plaignent aussi du défaut de motivation de l'arrêt attaqué. Les recourants n'exposent pas, même de manière succincte, en violation des exigences de motivation accrues de l' art. 106 al. 2 LTF (cf. consid. 6.2 ci-dessus), le contenu du droit à une décision motivée. Le grief ne peut pas être examiné. A supposer qu'il puisse être examiné, il devrait être rejeté. En effet,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141 V 557 consid. 3.2.1 p. 564). Or, en l'espèce, il ressort de la décision attaquée de manière suffisamment claire que l'irrecevabilité a été prononcée parce que les recourants n'avaient pas versé l'avance de frais réclamée dans le délai imparti à cet effet, ce que les recourants ne contestent pas.</w:t>
      </w:r>
    </w:p>
    <w:p>
      <w:r>
        <w:rPr>
          <w:b/>
        </w:rPr>
        <w:t>E. 8</w:t>
      </w:r>
    </w:p>
    <w:p>
      <w:r>
        <w:t>Le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