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2C_1062/2020 vom 25. März 2021</w:t>
      </w:r>
    </w:p>
    <w:p>
      <w:r>
        <w:t>Bundesgericht, 2021-03-25, DE</w:t>
      </w:r>
    </w:p>
    <w:p>
      <w:r>
        <w:rPr>
          <w:b/>
        </w:rPr>
        <w:t xml:space="preserve">Quelle: </w:t>
      </w:r>
      <w:r>
        <w:t>https://mcp.opencaselaw.ch/entscheid/bger_2C_1062_2020</w:t>
      </w:r>
    </w:p>
    <w:p>
      <w:r>
        <w:t>FR: TF 2C_1062/2020 du 25 mars 2021</w:t>
      </w:r>
    </w:p>
    <w:p>
      <w:r>
        <w:t>IT: TF 2C_1062/2020 del 25 marzo 2021</w:t>
      </w:r>
    </w:p>
    <w:p>
      <w:pPr>
        <w:pStyle w:val="Heading2"/>
      </w:pPr>
      <w:r>
        <w:t>Erwägungen</w:t>
      </w:r>
    </w:p>
    <w:p>
      <w:r>
        <w:rPr>
          <w:b/>
        </w:rPr>
        <w:t>E. 1.1</w:t>
      </w:r>
    </w:p>
    <w:p>
      <w:r>
        <w:t>Die Beschwerde in öffentlich-rechtlichen Angelegenheiten gegen den kantonal letztinstanzlichen Endentscheid ist zwar grundsätzlich zulässig ( Art. 82 lit. a, Art. 86 Abs. 1 lit. d und Art. 90 BGG ), auf dem Gebiet des Ausländerrechts aber unzulässig gegen Entscheide betreffend Bewilligungen, auf die weder das Bundesrecht noch das Völkerrecht einen Anspruch einräumt ( Art. 83 lit. c Ziff. 2 BGG ). Die Unzulässigkeit gilt aufgrund der Einheit des Verfahrens auch in Bezug auf Zwischenentscheide oder Nichteintretensentscheide bzw. Rechtsmittelentscheide, mit denen solche Entscheide bestätigt werden ( BGE 145 II 168 E. 3 S. 171; 138 II 501 E. 1.1; 133 III 645 E. 2.2; Urteil 2C_1088/2016 vom 2. Juni 2017 E. 1.2). Für das Eintreten ist nur, aber immerhin, erforderlich, dass die betroffene Person in vertretbarer Weise dartut, dass potenziell ein Anspruch auf Bewilligung besteht ( BGE 139 I 330 E. 1.1).</w:t>
      </w:r>
    </w:p>
    <w:p>
      <w:r>
        <w:rPr>
          <w:b/>
        </w:rPr>
        <w:t>E. 1.2</w:t>
      </w:r>
    </w:p>
    <w:p>
      <w:r>
        <w:t>Die anwaltlich vertretene Beschwerdeführerin führt in ihrer Beschwerdeschrift unter "Formelles" einzig aus, es liege keine Ausnahme nach Art. 83 BGG vor. Damit ist ein Bewilligungsanspruch nicht in vertretbarer Weise geltend gemacht. Ein solcher liegt auch nicht auf der Hand:</w:t>
      </w:r>
    </w:p>
    <w:p>
      <w:r>
        <w:rPr>
          <w:b/>
        </w:rPr>
        <w:t>E. 1.2.1</w:t>
      </w:r>
    </w:p>
    <w:p>
      <w:r>
        <w:t>Die Beschwerdeführerin ist zwar als Volljährige von Schweizer Bürgern adoptiert worden, doch vermittelt die Erwachsenenadoption nicht das Schweizer Bürgerrecht ( Art. 267b ZGB und Art. 4 BüG e contrario). Ein Recht auf Familiennachzug nach Art. 42 Abs. 1 AIG scheitert schon daran, dass die Beschwerdeführerin bereits im Zeitpunkt der Gesuchseinreichung älter als 18 jährig war.</w:t>
      </w:r>
    </w:p>
    <w:p>
      <w:r>
        <w:rPr>
          <w:b/>
        </w:rPr>
        <w:t>E. 1.2.2</w:t>
      </w:r>
    </w:p>
    <w:p>
      <w:r>
        <w:t>Die Vorinstanz hat sodann erwogen, die Beschwerdeführerin könne aus Art. 8 EMRK (Recht auf Familienleben) keinen Anspruch ableiten, da das Verhältnis zwischen Eltern und volljährigen Kindern nur in den Schutzbereich der EMRK falle, wenn ein besonderes Abhängigkeitsverhältnis bestehe, welches über die normalen affektiven Beziehungen hinausgehe. Diese rechtliche Beurteilung entspricht der ständigen Rechtsprechung des Bundesgerichts ( BGE 144 II 1 E. 6.1). In sachverhaltlicher Sicht hat die Vorinstanz sodann festgestellt, die Beschwerdeführerin sei weder körperlich noch geistig behindert und nicht auf besondere Betreuung und Pflege angewiesen. Die Beschwerdeführerin stellt diese Feststellungen vor Bundesgericht nicht in Frage. Im Gegenteil führt sie selber aus, sie nehme am kulturellen Leben teil, fahre Ski, schwimme in der Aare, nehme am Frauenlauf teil, treffe sich mit Freunden und habe gute Chancen, am Arbeitsmarkt teilnehmen zu können. Ein besonderes Abhängigkeitsverhältnis zwischen der Beschwerdeführerin und ihren Adoptiveltern ergibt sich daraus nicht, auch nicht aus den vagen Vorbringen der Beschwerdeführerin, es bestehe eine gewisse Abhängigkeit, wenn es um Behördengänge, Kulturelles und Integration gehe. Ein Aufenthaltsanspruch der mittlerweile 26-jährigen Beschwerdeführerin aufgrund der Beziehung zu ihren Adoptiveltern besteht somit offensichtlich nicht.</w:t>
      </w:r>
    </w:p>
    <w:p>
      <w:r>
        <w:rPr>
          <w:b/>
        </w:rPr>
        <w:t>E. 1.2.3</w:t>
      </w:r>
    </w:p>
    <w:p>
      <w:r>
        <w:t>Soweit die Beschwerdeführerin in den materiellen Ausführungen der Beschwerde einen Anspruch aus Art. 8 EMRK (Privatleben) herleiten will, kann ihr ebenfalls nicht gefolgt werden: Gemäss BGE 144 I 266 E. 3.9 kann zwar nach einer rechtmässigen Aufenthaltsdauer von rund zehn Jahren regelmässig davon ausgegangen werden, dass die sozialen Beziehungen in diesem Land so eng geworden sind, dass es für eine Aufenthaltsbeendigung besonderer Gründe bedarf. Indessen hat die Beschwerdeführerin nie eine Aufenthaltsbewilligung besessen: Sie reiste als rund Zwanzigjährige in die Schweiz ein, stellte erfolglos ein Asylgesuch und ist nach rechtskräftiger Wegweisung nicht ausgereist. Selbst wenn man mit der Beschwerdeführerin davon ausginge, sie sei im Juli 2019 nach Deutschland ausgereist und nachher wieder eingereist, ergibt sich daraus kein Bewilligungsanspruch. Ihr mittlerweile siebenjähriger Aufenthalt in der Schweiz ist einzig darauf zurückzuführen, dass sie in Missachtung des Wegweisungsentscheids in der Schweiz geblieben ist; er war nie legal ausser während der Dauer des Asylverfahrens, wobei auch dieser nicht als "rechtmässig" im Sinne von BGE 144 I 266 gilt, wenn das Asylgesuch abgewiesen wurde (Urteil 2D_19/2019 vom 20. März 2020 E. 1.3). Aus der Missachtung einer rechtskräftigen Wegweisungsverfügung kann sich offensichtlich kein Anspruch auf Bewilligungserteilung ergeben.</w:t>
      </w:r>
    </w:p>
    <w:p>
      <w:r>
        <w:rPr>
          <w:b/>
        </w:rPr>
        <w:t>E. 1.2.4</w:t>
      </w:r>
    </w:p>
    <w:p>
      <w:r>
        <w:t>Soweit die Beschwerdeführerin schliesslich geltend macht, der negative Asylentscheid sei falsch, da sie aufgrund ihrer Homosexualität in ihrem Heimatland nicht frei leben könne, verkennt sie, dass das Bundesgericht in einem Verfahren um Erteilung einer ausländerrechtlichen Bewilligung nicht einen rechtskräftigen Asylentscheid überprüfen kann.</w:t>
      </w:r>
    </w:p>
    <w:p>
      <w:r>
        <w:rPr>
          <w:b/>
        </w:rPr>
        <w:t>E. 1.2.5</w:t>
      </w:r>
    </w:p>
    <w:p>
      <w:r>
        <w:t>Die Beschwerde in öffentlich-rechtlichen Angelegenheiten ist somit unzulässig.</w:t>
      </w:r>
    </w:p>
    <w:p>
      <w:r>
        <w:rPr>
          <w:b/>
        </w:rPr>
        <w:t>E. 1.3</w:t>
      </w:r>
    </w:p>
    <w:p>
      <w:r>
        <w:t>Zulässig könnte die subsidiäre Verfassungsbeschwerde sein ( Art. 113 ff. BGG ). Die Beschwerdeführerin erhebt allerdings keine solche und ihre als Beschwerde in öffentlich-rechtlichen Angelegenheiten eingereichte Beschwerde kann auch nicht als Verfassungsbeschwerde entgegen genommen werden, da sie die entsprechenden Voraussetzungen nicht erfüllt: Die Verfassungsbeschwerde kann nur wegen Verletzung verfassungsmässiger Rechte erhoben werden ( Art. 116 BGG ), wobei in der Beschwerdeschrift dargelegt werden muss, dass und inwiefern der angefochtene Entscheid verfassungsmässige Rechte verletzt (Art. 117 in Verbindung mit Art. 106 Abs. 2 BGG ). Die Beschwerdeführerin erhebt jedoch keine Verfassungsrügen, abgesehen von den offensichtlich nicht begründeten Vorbringen hinsichtlich Art. 8 EMRK (vgl. vorne E. 1.2.2 und 1.2.3).</w:t>
      </w:r>
    </w:p>
    <w:p>
      <w:r>
        <w:rPr>
          <w:b/>
        </w:rPr>
        <w:t>E. 2</w:t>
      </w:r>
    </w:p>
    <w:p>
      <w:r>
        <w:t>Die Eingabe kann somit weder als Beschwerde in öffentlich-rechtlichen Angelegenheiten noch als subsidiäre Verfassungsbeschwerde entgegen genommen werden. Die unterliegende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