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2C_1061/2020 vom 29. Dezember 2020</w:t>
      </w:r>
    </w:p>
    <w:p>
      <w:r>
        <w:t>Bundesgericht, 2020-12-29, FR</w:t>
      </w:r>
    </w:p>
    <w:p>
      <w:r>
        <w:rPr>
          <w:b/>
        </w:rPr>
        <w:t xml:space="preserve">Quelle: </w:t>
      </w:r>
      <w:r>
        <w:t>https://mcp.opencaselaw.ch/entscheid/bger_2C_1061_2020</w:t>
      </w:r>
    </w:p>
    <w:p>
      <w:r>
        <w:t>FR: TF 2C_1061/2020 du 29 décembre 2020</w:t>
      </w:r>
    </w:p>
    <w:p>
      <w:r>
        <w:t>IT: TF 2C_1061/2020 del 29 dicembre 2020</w:t>
      </w:r>
    </w:p>
    <w:p>
      <w:pPr>
        <w:pStyle w:val="Heading2"/>
      </w:pPr>
      <w:r>
        <w:t>Erwägungen</w:t>
      </w:r>
    </w:p>
    <w:p>
      <w:r>
        <w:rPr>
          <w:b/>
        </w:rPr>
        <w:t>E. 1</w:t>
      </w:r>
    </w:p>
    <w:p>
      <w:r>
        <w:t>Par arrêt du 25 novembre 2020, le Tribunal cantonal du canton de Vaud a rejeté le recours que A.________ avait interjeté contre la décision du 28 septembre 2020 de l'Administration cantonale des impôts du canton de Vaud déclarant irrecevable pour dépôt tardif la réclamation formée par le contribuable le 12 mars 2020 contre la décision de taxation d'office du 25 octobre 2019 pour la période fiscale 2018.</w:t>
      </w:r>
    </w:p>
    <w:p>
      <w:r>
        <w:rPr>
          <w:b/>
        </w:rPr>
        <w:t>E. 2</w:t>
      </w:r>
    </w:p>
    <w:p>
      <w:r>
        <w:t>Par courrier du 23 décembre 2020, A.________ demande au Tribunal fédéral, à titre exceptionnel, une annulation ou une diminution de cette taxation d'office. En substance, il reconnaît n'avoir pas respecté les délais et est d'avis que la taxation d'office est très loin de la réalité.</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w:t>
      </w:r>
    </w:p>
    <w:p>
      <w:r>
        <w:t>En l'espèce, l'arrêt attaqué n'a porté que sur l'irrecevabilité de la réclamation interjetée devant l'autorité intimée en raison de son dépôt hors du délai légal, sans que les conditions d'une restitution de ce délai ne soient remplies. Le recours ne peut par conséquent pas porter sur le contenu de la taxation d'office. Le recourant ne formule des griefs qu'à l'encontre du contenu de la taxation d'office mais aucun grief ni aucune conclusion dirigés contre la confirmation de l'irrecevabilité confirmée par l'instance précédente.</w:t>
      </w:r>
    </w:p>
    <w:p>
      <w:r>
        <w:rPr>
          <w:b/>
        </w:rPr>
        <w:t>E. 4</w:t>
      </w:r>
    </w:p>
    <w:p>
      <w:r>
        <w:t>Malgré sa désignation erronée, le présent mémoire doit être considéré comme un recours en matière de droit public. 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 art. 42 al. 1 et 2 LTF ) et doivent se fonder sur les faits retenus par l'arrêt attaqué ( art. 105 al. 1 LTF ). En l'espèce les seules conclusions et motivations formulées sont irrecevables.</w:t>
      </w:r>
    </w:p>
    <w:p>
      <w:r>
        <w:rPr>
          <w:b/>
        </w:rPr>
        <w:t>E. 5</w:t>
      </w:r>
    </w:p>
    <w:p>
      <w:r>
        <w:t>Dépourvu de conclusions relatives à l'objet du litige, le présent recours est ainsi manifestement irrecevable ( art. 108 al. 1 let. a LTF ) et doit être traité selon la procédure simplifiée de l' art. 108 LTF , sans qu'il y ait lieu d'ordonner un échange d'écritures. Au vu de la situation financière du recourant, il se justifie de ne pas percevoir des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