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2C_1060/2019 vom 6. Juli 2020</w:t>
      </w:r>
    </w:p>
    <w:p>
      <w:r>
        <w:t>Bundesgericht, 2020-07-06, DE</w:t>
      </w:r>
    </w:p>
    <w:p>
      <w:r>
        <w:rPr>
          <w:b/>
        </w:rPr>
        <w:t xml:space="preserve">Quelle: </w:t>
      </w:r>
      <w:r>
        <w:t>https://mcp.opencaselaw.ch/entscheid/bger_2C_1060_2019</w:t>
      </w:r>
    </w:p>
    <w:p>
      <w:r>
        <w:t>FR: TF 2C_1060/2019 du 6 juillet 2020</w:t>
      </w:r>
    </w:p>
    <w:p>
      <w:r>
        <w:t>IT: TF 2C_1060/2019 del 6 luglio 2020</w:t>
      </w:r>
    </w:p>
    <w:p>
      <w:pPr>
        <w:pStyle w:val="Heading2"/>
      </w:pPr>
      <w:r>
        <w:t>Erwägungen</w:t>
      </w:r>
    </w:p>
    <w:p>
      <w:r>
        <w:rPr>
          <w:b/>
        </w:rPr>
        <w:t>E. 1.1</w:t>
      </w:r>
    </w:p>
    <w:p>
      <w:r>
        <w:t>Das Verwaltungsgericht des Kantons Bern trat am 19. November 2019 weder auf die Beschwerde von A.________ betreffend die Kantons- und Gemeindesteuern 2009 und 2010, noch auf seine Eingabe bezüglich der direkten Bundessteuer 2009 und 2010 ein.</w:t>
      </w:r>
    </w:p>
    <w:p>
      <w:r>
        <w:rPr>
          <w:b/>
        </w:rPr>
        <w:t>E. 1.2</w:t>
      </w:r>
    </w:p>
    <w:p>
      <w:r>
        <w:t>Am 17. Dezember 2019 gelangte A.________ an das Bundesgericht, wobei er "Einspruch gegen den Entscheid des Verwaltungsgerichts Bern" erhob. Am 6. Januar 2020 teilte die Abteilungskanzlei A.________ im Auftrag des Präsidenten mit, dass sein Schreiben den Begründungsanforderungen von Eingaben an das Bundesgericht nicht genügen dürfte ( Art. 42 BGG ); er könne seine Eingabe aber noch bis zum Ablauf der Beschwerdefrist verbessern. A.________ hat bis heute hierauf nicht reagiert.</w:t>
      </w:r>
    </w:p>
    <w:p>
      <w:r>
        <w:rPr>
          <w:b/>
        </w:rPr>
        <w:t>E. 2.1</w:t>
      </w:r>
    </w:p>
    <w:p>
      <w:r>
        <w:t>Gemäss Art. 42 Abs. 1 und 2 BGG (SR 173.110) haben Rechtsschriften an das Bundesgericht das Begehren und eine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ff. mit weiteren Hinweisen).</w:t>
      </w:r>
    </w:p>
    <w:p>
      <w:r>
        <w:rPr>
          <w:b/>
        </w:rPr>
        <w:t>E. 2.2</w:t>
      </w:r>
    </w:p>
    <w:p>
      <w:r>
        <w:t>Trotz des Hinweises, dass seine Eingabe den Begründungsanforderungen nicht genügen dürfte, liess sich der Beschwerdeführer nicht mehr vernehmen; er reichte innerhalb der Beschwerdefrist keine verbesserte Rechtsschrift ein. Weil die Eingabe in der vorliegenden Form offensichtlich keine sachbezogene Begründung enthält, ist darauf im vereinfachten Verfahren nach Art. 108 BGG nicht einzutreten. Es rechtfertigt sich, ausnahmsweise keine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