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2C_1060/2016 vom 13. Juni 2017</w:t>
      </w:r>
    </w:p>
    <w:p>
      <w:r>
        <w:t>Bundesgericht, 2017-06-13, FR</w:t>
      </w:r>
    </w:p>
    <w:p>
      <w:r>
        <w:rPr>
          <w:b/>
        </w:rPr>
        <w:t xml:space="preserve">Quelle: </w:t>
      </w:r>
      <w:r>
        <w:t>https://mcp.opencaselaw.ch/entscheid/bger_2C_1060_2016</w:t>
      </w:r>
    </w:p>
    <w:p>
      <w:r>
        <w:t>FR: TF 2C_1060/2016 du 13 juin 2017</w:t>
      </w:r>
    </w:p>
    <w:p>
      <w:r>
        <w:t>IT: TF 2C_1060/2016 del 13 giugno 2017</w:t>
      </w:r>
    </w:p>
    <w:p>
      <w:pPr>
        <w:pStyle w:val="Heading2"/>
      </w:pPr>
      <w:r>
        <w:t>Erwägungen</w:t>
      </w:r>
    </w:p>
    <w:p>
      <w:r>
        <w:rPr>
          <w:b/>
        </w:rPr>
        <w:t>E. 1.1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2C_490/2014 du 26 novembre 2014 consid. 1.2; 2C_199/2010 du 12 avril 2011 consid. 3.3, non publié in ATF 137 II 383 ). Dans la mesure où le recourant conclut, parallèlement à l'annulation de l'arrêt du 4 octobre 2016 de la Cour de justice, à ce qu'il soit dit et constaté "que Me A.________ n'a pas violé la LLCA", il formule une conclusion constatatoire qui est irrecevable.</w:t>
      </w:r>
    </w:p>
    <w:p>
      <w:r>
        <w:rPr>
          <w:b/>
        </w:rPr>
        <w:t>E. 1.3</w:t>
      </w:r>
    </w:p>
    <w:p>
      <w:r>
        <w:t>Le recours est également irrecevable en tant qu'il demande le classement de la procédure. Pour autant qu'on comprenne la conclusion du recourant, celle-ci se fonde sur une nouvelle plainte que B.________ a adressée à la Commission du barreau. Cette nouvelle procédure ne fait cependant pas l'objet de la présente cause.</w:t>
      </w:r>
    </w:p>
    <w:p>
      <w:r>
        <w:rPr>
          <w:b/>
        </w:rPr>
        <w:t>E. 2</w:t>
      </w:r>
    </w:p>
    <w:p>
      <w:r>
        <w:t>Le recourant se plaint d'arbitraire dans l'établissement des faits.</w:t>
      </w:r>
    </w:p>
    <w:p>
      <w:r>
        <w:rPr>
          <w:b/>
        </w:rPr>
        <w:t>E. 2.1</w:t>
      </w:r>
    </w:p>
    <w:p>
      <w:r>
        <w:t>Le Tribunal fédéral statue sur la base des faits établis par l'autorité précédente ( art. 105 al. 1 LTF ), sous réserve des cas prévus à l' art. 105 al. 2 LTF . 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137 III 226 consid. 4.2 p. 234; 135 III 127 consid. 1.5 p. 129 s.).</w:t>
      </w:r>
    </w:p>
    <w:p>
      <w:r>
        <w:rPr>
          <w:b/>
        </w:rPr>
        <w:t>E. 2.2</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ll appartient à la partie recourante de démontrer l'arbitraire par une argumentation répondant aux exigences de l' art. 106 al. 2 LTF .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2.3</w:t>
      </w:r>
    </w:p>
    <w:p>
      <w:r>
        <w:t>En l'espèce, le recourant reproche à l'instance précédente de n'avoir pas retenu qu'il avait proposé le retrait de la procédure, mais que son ancien mandant avait refusé d'entrer en matière. Il se fonde en cela sur le contenu de ses courriers des 13 février et 20 mars 2015 versés au dossier, ainsi que sur le courrier de son ancien client du 13 avril 2015. D'après l'intéressé, ces pièces étaient de nature à démontrer sa " volonté de parvenir à un accord " de même que sa " parfaite bonne foi " (cf. mémoire de recours, p. 8). On peut se demander si ce grief est recevable, dans la mesure où le recourant se borne à reprendre la critique qu'il avait formulée devant l'autorité cantonale sans développer de motivation topique. Quoi qu'il en soit, contrairement à ce que soutient le recourant, le contenu de ces courriers a été dûment relaté dans l'arrêt attaqué. Les juges cantonaux ont en effet retenu que le recourant avait déclaré qu'il était disposé à retirer le commandement de payer, sous condition que son ancien mandant renonce à se prévaloir de la prescription. D'après l'arrêt entrepris, dite proposition avait été renouvelée par l'intéressé dans ses courriers du 15 janvier 2015, 13 février 2015 (cf. arrêt attaqué, consid. 15) et 20 mars 2015 (cf arrêt attaqué, consid. 19). Contrairement à ce que soutient le recourant, la Cour de justice a également mentionné le contenu du courrier du 13 avril 2015, dans lequel B.________ a déclaré qu'il refusait de discuter tant que les honoraires n'étaient pas justifiés et le commandement de payé retiré. La Cour de justice a toutefois considéré que ces différents courriers n'étaient pas déterminants puisqu'ils ne remettaient pas en cause le fait - non contesté par le recourant - que ce dernier exigeait de son ancien client une renonciation inconditionnelle à la prescription. Or, savoir si une telle attitude est contraire à l'obligation d'exercer sa profession avec soin et diligence relève du droit et sera examinée ci-après (cf.</w:t>
      </w:r>
    </w:p>
    <w:p>
      <w:r>
        <w:t>infra consid. 4). Pour le reste, le recourant discute librement les faits retenus dans l'arrêt attaqué, sans invoquer l'arbitraire ni démontrer le caractère manifestement inexact des éléments retenus par la Cour de justice. Une telle argumentation n'est pas admissible sous l'angle de l' art. 97 al. 1 LTF . Dans la suite du raisonnement, le Tribunal fédéral se fondera donc exclusivement sur les faits établis par l'autorité précédente.</w:t>
      </w:r>
    </w:p>
    <w:p>
      <w:r>
        <w:rPr>
          <w:b/>
        </w:rPr>
        <w:t>E. 3</w:t>
      </w:r>
    </w:p>
    <w:p>
      <w:r>
        <w:t>Invoquant l' art. 29 al. 2 Cst. , le recourant se plaint d'une violation de son droit d'être enten du.</w:t>
      </w:r>
    </w:p>
    <w:p>
      <w:r>
        <w:rPr>
          <w:b/>
        </w:rPr>
        <w:t>E. 3.1</w:t>
      </w:r>
    </w:p>
    <w:p>
      <w:r>
        <w:t>Le droit d'être entendu, tel qu'il est garanti par l' art. 29 al. 2 Cst. , comprend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w:t>
      </w:r>
    </w:p>
    <w:p>
      <w:r>
        <w:rPr>
          <w:b/>
        </w:rPr>
        <w:t>E. 3.2</w:t>
      </w:r>
    </w:p>
    <w:p>
      <w:r>
        <w:t>Le recourant reproche à la juridiction cantonale de n'avoir pas donné suite à sa requête portant sur une comparution personnelle des parties. L'intéressé perd cependant de vue que cette disposition ne confère pas le droit d'être entendu oralement par l'autorité (cf. ATF 140 I 68 consid. 9.6.1 p. 76). Il ressort du reste de l'arrêt attaqué que le recourant avait largement pu faire valoir ses arguments dans ses différentes écritures, de sorte qu'il ne se justifiait pas de donner suite à sa requête d'audition. Le recourant ne démontre pas en quoi une telle appréciation anticipée des preuves serait arbitraire. En tant que le recourant se plaint de ce qu'il n'aurait pas connu les raisons pour lesquelles la Commission du barreau aurait occulté certaines pièces, il critique en réalité un défaut de motivation. Or dans la mesure où ce grief est dirigé contre la décision de première instance, elle est irrecevable en raison de l'effet dévolutif du recours auprès de la Cour de justice (cf. arrêts 2C_621/2015 du 11 décembre 2016 consid. 1.4; 2C_449/2013 du 21 février 2014 consid. 1.3). Il en va de même du grief dirigé contre la Commission du barreau, selon lequel l'autorité aurait rendu sa décision sans entendre le recourant sur la question d'une éventuelle violation de l' art. 12 let. a LLCA . Le grief de violation du droit d'être entendu doit ainsi être rejeté.</w:t>
      </w:r>
    </w:p>
    <w:p>
      <w:r>
        <w:rPr>
          <w:b/>
        </w:rPr>
        <w:t>E. 4</w:t>
      </w:r>
    </w:p>
    <w:p>
      <w:r>
        <w:t>Le recourant conteste l'appréciation des autorités cantonales selon laquelle il aurait manqué à son obligation d'exercer sa profession avec soin et diligence.</w:t>
      </w:r>
    </w:p>
    <w:p>
      <w:r>
        <w:rPr>
          <w:b/>
        </w:rPr>
        <w:t>E. 4.1</w:t>
      </w:r>
    </w:p>
    <w:p>
      <w:r>
        <w:t>L' art. 12 LLCA énonce les règles professionnelles auxquelles l'avocat est soumis. Celui-ci doit notamment exercer sa profession avec soin et diligence ( art. 12 let. a LLCA ). Cette disposition constitue une clause générale (arrêt 2C_452/2011 du 25 août 2011 consid. 5.1) qui permet d'exiger de l'avocat qu'il se comporte correctement dans l'exercice de sa profession (FF 1999 5331, 5368). Il lui est en particulier interdit d'entreprendre des actes qui pourraient nuire aux intérêts de son client (WALTER FELLMANN, in Fellmann/Zindel (éd.), Kommentar zum Anwaltsgesetz, 2011,</w:t>
      </w:r>
    </w:p>
    <w:p>
      <w:r>
        <w:t>ad</w:t>
      </w:r>
    </w:p>
    <w:p>
      <w:r>
        <w:t>art. 12 LLCA n° 25). L' art. 12 let. a LLCA suppose toutefois l'existence d'un manquement significatif aux devoirs de la profession (arrêts 2C_452/2011 précité, consid. 5.1; 2C_379/2009 du 7 décembre 2009 consid. 3.1). L' art. 17 al. 1 let. a LLCA prévoit qu'en cas de violation d'une règle professionnelle, l'autorité de surveillance (cantonale) peut prononcer à l'encontre d'un avocat, entre autres mesures disciplinaires, un avertissement.</w:t>
      </w:r>
    </w:p>
    <w:p>
      <w:r>
        <w:t>Le Tribunal fédéral revoit librement le point de savoir s'il y a eu violation des règles professionnelles (arrêts 2C_782/2015 du 19 janvier 2016 consid. 2; 2C_257/2010 du 23 août 2010 consid. 5.1) en fonction du comportement concret de la personne mise en cause au regard de la situation qui se présentait à elle au moment des faits.</w:t>
      </w:r>
    </w:p>
    <w:p>
      <w:r>
        <w:t>Dans un arrêt publié aux ATF 130 II 270 , le Tribunal fédéral a précisé qu'un avocat ne violait pas l'obligation d'exercer sa profession avec soin et diligence en introduisant une poursuite sans avertissement préalable, même si l'inscription au registre des poursuites pouvait causer des désagréments à la personne visée. Dans cette affaire, l'avocat avait notifié un commandement de payer au débiteur de son client dans le but d'interrompre la prescription. La Cour de céans avait toutefois réservé le cas des poursuites abusives, en particulier lorsque le seul but de l'avocat était de porter atteinte au crédit du débiteur, ou lorsqu'un montant exagéré était indiqué à des seules fins chicanières (consid. 3.2.2 p. 278).</w:t>
      </w:r>
    </w:p>
    <w:p>
      <w:r>
        <w:rPr>
          <w:b/>
        </w:rPr>
        <w:t>E. 4.2</w:t>
      </w:r>
    </w:p>
    <w:p>
      <w:r>
        <w:t>Dans le cas particulier, la Cour de justice a retenu que le recourant avait violé ses devoirs de soin et de diligence en refusant de retirer la poursuite qu'il avait introduite contre son ancien client, alors que ce dernier avait valablement renoncé à la prescription. Les juges cantonaux ont précisé que la pratique consistant à renoncer à se prévaloir de la prescription pour autant que celle-ci n'était pas déjà acquise était usuelle. La formulation de cette condition n'était du reste pas sans conséquence pour son ancien client. Si la créance du recourant n'était pas déjà prescrite au moment où celui-ci a déposé sa première réquisition de poursuite, la condition posée par B.________ n'entraînait aucune péjoration de sa situation. Dans cette hypothèse, l'obstination de l'intéressé à ne pas retirer sa poursuite en raison de la formulation de cette condition n'était pas justifiée. En revanche, si la créance de l'avocat était déjà prescrite au moment de la première réquisition, la démarche du recourant n'avait d'autre finalité que celle de priver son débiteur de pouvoir se prévaloir de l'exception de prescription, ce qui était manifestement contraire à l' art. 12 let. a LLCA .</w:t>
      </w:r>
    </w:p>
    <w:p>
      <w:r>
        <w:t>Le recourant met en avant " sa parfaite bonne foi " et sa volonté de trouver un accord avec son ancien client. Il n'avait agi que dans le soucis de se protéger " au maximum " afin de sauvegarder ses droits. D'après l'intéressé, ces éléments auraient dû conduire l'instance précédente à exclure tout comportement contraire aux devoirs de soin et de diligence de l'avocat. Cette argumentation ne convainc pas. D'après les constatations de fait de l'instance précédente, qui lient le Tribunal de céans (cf. art. 105 al. 2 LTF ), le recourant a introduit deux réquisitions de poursuite pour un montant de 30'000 fr., correspondant à un solde d'honoraires pour l'activité déployée entre le 15 février 2005 et le 29 mai 2008. Invité à produire des justificatifs, le recourant a attendu plus de deux ans avant de fournir une note complète d'honoraires. Le nouveau conseil de B.________ a demandé le retrait des poursuites, précisant que les prétentions de l'intéressé étaient éteintes par la prescription. Le recourant a répondu qu'il était disposé à retirer les commandements de payer, sous condition que son ancien client renonce à se prévaloir de la prescription, ce qui a été fait le 23 juillet 2014. B.________ a cependant subordonné sa renonciation à la condition que la prescription ne soit pas déjà acquise au moment du dépôt de la réquisition de poursuite. Comme l'a retenu à juste titre l'instance précédente, une telle formulation est usuelle en tant qu'elle vise à préserver les intérêts de la personne qui fait l'objet de poursuites. Exiger le retrait de cette condition équivaut, au mieux, à décevoir les attentes légitimes de son ancien client qui a valablement renoncé à la prescription et, au pire, à nuire à ses intérêts. Une telle manière de procéder compromet la confiance du public envers la profession d'avocat et porte atteinte aux devoirs de soin et de diligence que l'avocat, en tant qu'auxiliaire de la justice, est tenu de respecter. Contrairement à ce que soutient le recourant, les devoirs de soin et de diligence ne visent pas uniquement la relation que l'avocat entretient avec son client durant la durée du mandat mais s'étendent à tous les actes professionnels de l'avocat (cf. ATF 130 II 270 consid. 4 p. 279). Le comportement de l'intéressé est d'autant plus critiquable que ce dernier a introduit les poursuites contre son ancien client cinq ans après la résiliation du mandat et qu'il lui a fallu plus de deux ans pour fournir l'intégralité de ses notes d'honoraires. Comme l'a retenu l'instance précédente, ces circonstances imposaient une certaine retenue de la part du recourant dans les démarches visant au recouvrement de ses honoraires. A cela s'ajoute qu'aucune mise en demeure n'a été adressée à B.________, ce qui dénote un manque de délicatesse de l'avocat envers son ancien client. Les explications du recourant quant à l'urgence de la situation ne sont pas convaincantes dans la mesure où l'intéressé a attendu cinq ans avant de réclamer le paiement de ses honoraires. Pour le reste, on peine à suivre le recourant lorsqu'il reproche à l'instance précédente d'avoir statué " au-delà des conclusions du dénonciateur ". Cette critique part de la prémisse selon laquelle la dénonciation se basait " exclusivement sur le caractère prétendument infondé des prétentions ". Or cela ne ressort pas des constatations de l'autorité précédente, sans que l'intéressé n'invoque ni ne démontre l' arbitraire dans l'établissement des faits ( art. 97 LTF ; cf.</w:t>
      </w:r>
    </w:p>
    <w:p>
      <w:r>
        <w:t>supra consid. 2.1). Quoi qu'il en soit, l'argument du recourant perd de vue que l'autorité administrative qui examine le bien-fondé d'une dénonciation peut décider librement de la suite qu'elle juge opportun de donner, sans être liée par la demande qui lui est soumise (PIERRE MOOR, Droit administratif, vol. 2, 3e éd. 2011, p. 616).</w:t>
      </w:r>
    </w:p>
    <w:p>
      <w:r>
        <w:rPr>
          <w:b/>
        </w:rPr>
        <w:t>E. 4.3</w:t>
      </w:r>
    </w:p>
    <w:p>
      <w:r>
        <w:t>Au vu de ce qui précède, c'est à bon droit que l'autorité précédente a jugé, à l'instar de la Commission du barreau, que le recourant avait transgressé l' art. 12 let. a LLCA en refusant de retirer la poursuite qu'il avait introduite contre son ancien client, alors que ce dernier avait renoncé à la prescription. En outre, le recourant a été sanctionné par un simple avertissement, ce qui constitue la sanction disciplinaire la plus légère du catalogue prévu à l' art. 17 LLCA (cf. REISER/VALTICOS, Sanctions disciplinaires applicables aux avocats, in Défis de l'avocat au XXIe siècle - Mélanges Dominique Burger, 2008, p. 125 ss, 139). Dans la mesure où la sanction est proportionnée aux circonstances, on ne peut pas reprocher à la Cour de justice, comme le fait le recourant, d'avoir excédé son pouvoir d'appréciation (cf. art. 5 al. 2 et 36 al. 3 Cst.; cf. arrêts 2C_1180/2013 du 24 octobre 2014 consid. 4.4; 2C_34/2011 du 30 juillet 2011 consid. 6.3).</w:t>
      </w:r>
    </w:p>
    <w:p>
      <w:r>
        <w:rPr>
          <w:b/>
        </w:rPr>
        <w:t>E. 5</w:t>
      </w:r>
    </w:p>
    <w:p>
      <w:r>
        <w:t>Les considérants qui précèdent conduisent au rejet du recours en matière de droit public dans la mesure où il est recevable. Succombant,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