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2C_1060/2014 vom 31. August 2015</w:t>
      </w:r>
    </w:p>
    <w:p>
      <w:r>
        <w:t>Bundesgericht, 2015-08-31, FR</w:t>
      </w:r>
    </w:p>
    <w:p>
      <w:r>
        <w:rPr>
          <w:b/>
        </w:rPr>
        <w:t xml:space="preserve">Quelle: </w:t>
      </w:r>
      <w:r>
        <w:t>https://mcp.opencaselaw.ch/entscheid/bger_2C_1060_2014</w:t>
      </w:r>
    </w:p>
    <w:p>
      <w:r>
        <w:t>FR: TF 2C_1060/2014 du 31 août 2015</w:t>
      </w:r>
    </w:p>
    <w:p>
      <w:r>
        <w:t>IT: TF 2C_1060/2014 del 31 agosto 2015</w:t>
      </w:r>
    </w:p>
    <w:p>
      <w:pPr>
        <w:pStyle w:val="Heading2"/>
      </w:pPr>
      <w:r>
        <w:t>Erwägungen</w:t>
      </w:r>
    </w:p>
    <w:p>
      <w:r>
        <w:rPr>
          <w:b/>
        </w:rPr>
        <w:t>E. 1</w:t>
      </w:r>
    </w:p>
    <w:p>
      <w:r>
        <w:t>Le Tribunal fédéral examine d'office sa compétence ( art. 29 al. 1 LTF ). Il contrôle donc librement la recevabilité des recours qui sont déposés devant lui ( ATF 136 II 470 consid. 1 p. 472).</w:t>
      </w:r>
    </w:p>
    <w:p>
      <w:r>
        <w:rPr>
          <w:b/>
        </w:rPr>
        <w:t>E. 1.1</w:t>
      </w:r>
    </w:p>
    <w:p>
      <w:r>
        <w:t>L'arrêt attaqué est une décision finale ( art. 90 LTF ), rendue en dernière instance cantonale par un tribunal supérieur ( art. 86 al. 1 let . d et al. 2 LTF) dans une cause de droit public ( art. 82 let. a LTF ). Déposé en temps utile ( art. 100 al. 1 LTF ) et dans les formes prescrites ( art. 42 LTF ), le recours en matière de droit public est par conséquent en principe ouvert.</w:t>
      </w:r>
    </w:p>
    <w:p>
      <w:r>
        <w:rPr>
          <w:b/>
        </w:rPr>
        <w:t>E. 1.2</w:t>
      </w:r>
    </w:p>
    <w:p>
      <w:r>
        <w:t>Conformément à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son annulation ou à sa modification (let. c). En l'occurrence, le recourant était partie devant l'autorité précédente. Celle-ci est entrée en matière et a rejeté son recours. Le recourant a ainsi un intérêt digne de protection à faire contrôler si c'est à juste titre que les juges précédents ont considéré que l'Office cantonal n'avait pas besoin de rendre une décision. Par contre, le point de savoir si une décision devait ou non être rendue par l'Office cantonal, contre laquelle le recourant aurait, le cas échéant, pu recourir en se fondant sur l' art. 58 LTr , relève du fond et non de la recevabilité.</w:t>
      </w:r>
    </w:p>
    <w:p>
      <w:r>
        <w:rPr>
          <w:b/>
        </w:rPr>
        <w:t>E. 1.3</w:t>
      </w:r>
    </w:p>
    <w:p>
      <w:r>
        <w:t>La qualité pour recourir au Tribunal fédéral suppose en outre un intérêt actuel à obtenir l'annulation de la décision attaquée. Cet intérêt doit exister tant au moment du dépôt du recours qu'au moment où l'arrêt est rendu. L'intérêt doit être déterminé en fonction du but poursuivi par le recours, ainsi que des conséquences pratiques d'une éventuelle admission de celui-ci ( ATF 118 Ia 488 consid. 2a p. 492). Par conséquent, contrairement à l'avis du recourant, l'intérêt de ce dernier au recours ne se limite pas au point de savoir si l'Office cantonal devait ou non rendre une décision, mais s'apprécie en fonction de ce que cherchait à obtenir le recourant par cette décision.</w:t>
      </w:r>
    </w:p>
    <w:p>
      <w:r>
        <w:rPr>
          <w:b/>
        </w:rPr>
        <w:t>E. 1.4</w:t>
      </w:r>
    </w:p>
    <w:p>
      <w:r>
        <w:t>Sur le fond, le recourant se plaignait de ce que l'art. 14 du règlement violait l'art. 26 de l'ordonnance fédérale du 18 août 1993 relative à la loi sur le travail (OLT 3; RS 822.113) en ce qu'il " ne permettait pas de s'abstenir de dénoncer des faits répréhensibles - y compris des violations bénignes du règlement interne -, poussait les collaborateurs à la surveillance de leurs collègues et à la délation ". Or le règlement a visiblement été modifié dans le sens voulu par le recourant puisque depuis le 1</w:t>
      </w:r>
    </w:p>
    <w:p>
      <w:r>
        <w:t>er janvier 2015 il prévoit que " Les éléments à caractère banal, respectivement les cas de peu de gravité ne sont pas visés ". Au surplus, la question qui était litigieuse est à ce jour expressément réglée par l'art. 25 de la convention collective, qui se substitue ainsi au règlement interne (cf. art. 4.2 de la convention collective, mais également art. 38 al. 2 et 3 LTr qui prévoit la préséance des conventions collectives sur les règlements d'organisation; arrêt 4C.89/1997 du 8 octobre 1997 consid. 3c). Pratiquement, il n'y a donc plus d'intérêt actuel pour le recourant à obtenir une décision concernant une disposition du règlement qui, en plus d'avoir été révisée dans son sens, est aussi désormais matériellement contenue dans la convention collective.</w:t>
      </w:r>
    </w:p>
    <w:p>
      <w:r>
        <w:rPr>
          <w:b/>
        </w:rPr>
        <w:t>E. 1.5</w:t>
      </w:r>
    </w:p>
    <w:p>
      <w:r>
        <w:t>Le Tribunal fédéral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137 I 23 consid. 1.3.1 p. 24; 136 II 101 consid. 1.1 p. 103; 135 I 79 consid. 1.1 p. 81). Contrairement à ce que semble penser le recourant, aucun élément ne révèle en l'espèce l'existence de circonstances particulières propres à justifier que le recours soit néanmoins traité matériellement.</w:t>
      </w:r>
    </w:p>
    <w:p>
      <w:r>
        <w:rPr>
          <w:b/>
        </w:rPr>
        <w:t>E. 1.6</w:t>
      </w:r>
    </w:p>
    <w:p>
      <w:r>
        <w:t>L'intérêt pour recourir ayant disparu lors de l'entrée en vigueur de la modification du règlement interne, respectivement de la convention collective, soit en cours de procédure devant le Tribunal fédéral, la cause doit être rayée du rôle comme devenue sans objet ( ATF 139 I 206 consid. 1.1 p. 208; 137 I 23 consid. 1.3.1 p. 24; Florence Aubry Girardin, in Corboz et al. [éd.], Commentaire de la LTF, 2e éd. 2014, n° 23 ad art. 89 LTF ).</w:t>
      </w:r>
    </w:p>
    <w:p>
      <w:r>
        <w:rPr>
          <w:b/>
        </w:rPr>
        <w:t>E. 2</w:t>
      </w:r>
    </w:p>
    <w:p>
      <w:r>
        <w:t>Aux termes de l' art. 72 PCF (RS 273; applicable par renvoi de l' art. 71 LTF ), lorsqu'un procès devient sans objet ou que les parties cessent d'y avoir un intérêt juridique, le tribunal, après avoir entendu les parties, mais sans autres débats, déclare l'affaire terminée et statue sur les frais du procès par une décision sommairement motivée, en tenant compte de l'état de choses existant avant le fait qui met fin au litige. Dans ce cadre, il n'y a pas lieu d'examiner en détail quelle eût été normalement l'issue du procès. Il convient de procéder simplement à une appréciation sommaire au vu du dossier. La décision sur les frais n'équivaut pas à un jugement matériel et ne doit, selon les circonstances, pas préjuger d'une question juridique délicate. Si l'issue probable de la procédure dans le cas concret ne peut être établie sans plus ample examen, il convient d'appliquer par analogie les critères valables en procédure civile. A cet égard, les frais et dépens seront supportés en premier lieu par la partie qui a provoqué la procédure devenue sans objet ou chez qui sont intervenues les causes qui ont conduit à ce que cette procédure devienne sans objet (cf. ATF 118 Ia 488 consid. 4a p. 494 s.; arrêts 2C_597/2011 du 13 septembre 2011 consid. 4.1; 2C_45/2009 du 26 juin 2009 consid. 3.1).</w:t>
      </w:r>
    </w:p>
    <w:p>
      <w:r>
        <w:rPr>
          <w:b/>
        </w:rPr>
        <w:t>E. 2.1</w:t>
      </w:r>
    </w:p>
    <w:p>
      <w:r>
        <w:t>En l'espèce, le Tribunal fédéral n'a jamais traité le point de savoir si l'Office cantonal auquel les règlements d'entreprise doivent être soumis, conformément à l' art. 39 al. 1 LTr , est tenu de rendre une décision lorsqu'il estime que ledit règlement ne contrevient pas au droit. On ne saurait par conséquent d'emblée considérer que l'issue de la procédure était probable, que ce soit en faveur ou en défaveur du recourant.</w:t>
      </w:r>
    </w:p>
    <w:p>
      <w:r>
        <w:t>En modifiant son règlement et en adoptant la convention collective durant la présente procédure, l'intimée a fait que celle-ci devienne sans objet. Il lui revient par conséquent de supporter les frais judiciaires ( art. 66 al. 1 LTF ) ainsi que les dépens du recourant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