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2C_1059/2014 vom 25. Mai 2016</w:t>
      </w:r>
    </w:p>
    <w:p>
      <w:r>
        <w:t>Bundesgericht, 2016-05-25, DE</w:t>
      </w:r>
    </w:p>
    <w:p>
      <w:r>
        <w:rPr>
          <w:b/>
        </w:rPr>
        <w:t xml:space="preserve">Quelle: </w:t>
      </w:r>
      <w:r>
        <w:t>https://mcp.opencaselaw.ch/entscheid/bger_2C_1059_2014</w:t>
      </w:r>
    </w:p>
    <w:p>
      <w:r>
        <w:t>FR: TF 2C_1059/2014 du 25 mai 2016</w:t>
      </w:r>
    </w:p>
    <w:p>
      <w:r>
        <w:t>IT: TF 2C_1059/2014 del 25 maggio 2016</w:t>
      </w:r>
    </w:p>
    <w:p>
      <w:pPr>
        <w:pStyle w:val="Heading2"/>
      </w:pPr>
      <w:r>
        <w:t>Erwägungen</w:t>
      </w:r>
    </w:p>
    <w:p>
      <w:r>
        <w:rPr>
          <w:b/>
        </w:rPr>
        <w:t>E. 1.1</w:t>
      </w:r>
    </w:p>
    <w:p>
      <w:r>
        <w:t>Der angefochtene Entscheid der Vorinstanz auf dem Gebiet der Staatshaftung kann mit Beschwerde in öffentlich-rechtlichen Angelegenheiten beim Bundesgericht angefochten werden, da der Streitwert mehr als Fr. 30'000.-- beträgt (Art. 10 Abs. 1 des Bundesgesetzes vom 14. März 1958 über die Verantwortlichkeit des Bundes sowie seiner Behördemitglieder und Beamten [Verantwortlichkeitsgesetz, VG; SR 170.32] in Verbindung mit Art. 85 Abs. 1 lit. a und Art. 86 Abs. 1 lit. a BGG ). Die Beschwerdeführerin hat ein schutzwürdiges Interesse an der Aufhebung des angefochtenen Entscheides ( Art. 89 Abs. 1 BGG ). Es steht auch nach dem Urteil des Obergerichts des Kantons Zürich vom 19. September 2014 noch nicht fest, ob der ins Recht gefasste Beistand den behaupteten Schaden decken wird (sogleich E. 1.4). Auf die frist- und formgerecht eingereichte Beschwerde ist einzutreten.</w:t>
      </w:r>
    </w:p>
    <w:p>
      <w:r>
        <w:rPr>
          <w:b/>
        </w:rPr>
        <w:t>E. 1.2</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 Art. 7-34 BV , nebst den übrigen verfassungsmässigen Rechten der BV [ BGE 134 I 23 E. 6.1 S. 31; 133 III 638 E. 2 S. 640] und den Rechtsansprüchen der EMRK [ BGE 138 I 97 E. 4.3 S. 106]) untersucht das Bundesgericht in jedem Fall nur, soweit eine Rüge in der Beschwerde vorgebracht und begründet worden ist ( Art. 106 Abs. 2 BGG ). Solche Rügen sind klar und detailliert anhand der Erwägungen des angefochtenen Entscheids darzulegen. Auf bloss allgemein gehaltene, appellatorische Kritik am vorinstanzlichen Entscheid tritt das Bundesgericht nicht ein ( BGE 139 I 138 E. 3.8 S. 144 ; 138 I 171 E. 1.4 S. 176; 137 IV 1 E. 4.2.3 S. 5; 137 V 57 E. 1.3 S. 60; Urteil 2C_170/2013 vom 20. Juni 2013 E. 1.2).</w:t>
      </w:r>
    </w:p>
    <w:p>
      <w:r>
        <w:rPr>
          <w:b/>
        </w:rPr>
        <w:t>E. 1.3</w:t>
      </w:r>
    </w:p>
    <w:p>
      <w:r>
        <w:t>Das Bundesgericht legt seinem Urteil den Sachverhalt zugrunde, den die Vorinstanz festgestellt hat ( Art. 105 Abs. 1 BGG ). Die vorinstanzlichen Feststellungen können nur berichtigt werden, sofern sie entweder offensichtlich unrichtig, d. h. willkürlich ermittelt worden sind ( Art. 9 BV ; BGE 137 II 353 E. 5.1 S. 356) oder auf einer Rechtsverletzung im Sinne von Art. 95 BGG beruhen ( Art. 105 Abs. 2 BGG ). Zudem hat die beschwerdeführende Partei aufzuzeigen, dass die Behebung des Mangels für den Ausgang des Verfahrens entscheidend sein kann ( Art. 97 Abs. 1 BGG ; BGE 137 III 226 E. 4.2 S. 234).</w:t>
      </w:r>
    </w:p>
    <w:p>
      <w:r>
        <w:rPr>
          <w:b/>
        </w:rPr>
        <w:t>E. 1.4</w:t>
      </w:r>
    </w:p>
    <w:p>
      <w:r>
        <w:t>Aufgrund von Art. 99 Abs. 1 BGG dürfen neue Tatsachen und Beweismittel nur so weit vorgebracht werden, als der angefochtene Entscheid hierzu Anlass gibt. Echte Noven, d.h. Tatsachen, die erst nach dem angefochtenen Urteil eingetreten sind, bleiben im bundesgerichtlichen Verfahren in jedem Fall unberücksichtigt (vgl. BGE 139 III 120 E. 3.1.2 S. 123; 133 IV 342 E. 2.1 S. 343 f.; je mit Hinweisen). Die Beschwerdeführerin reicht im bundesgerichtlichen Verfahren einen Entscheid des Obergerichts des Kantons Zürich betreffend die Schadenersatzforderung der Beschwerdeführerin gegen den ehemaligen Beistand sowie B.________ ein. Das Gericht stellte eine Sorgfaltspflichtverletzung des Beistandes fest und wies die Klage zur Klärung der weiteren Haftungsvoraussetzungen an die Vorinstanz zurück. Der Entscheid datiert vom 19. September 2014 und wurde am 26. September 2014 versandt. Folglich hätte dieser Entscheid noch bei der Vorinstanz eingereicht werden können, da sie ihr Urteil erst am 14. Oktober 2014 fällte. Es handelt sich somit nicht um ein echtes Novum, welches ohnehin keine Berücksichtigung gefunden hätte. Aber auch die Voraussetzungen zur Berücksichtigung eines unechten Novums liegen nicht vor. Nur weil die Vorinstanz nicht der rechtlichen Ansicht des Beschwerdeführers folgte, gibt ihr Entscheid nicht Anlass zum Vorbringen neuer Beweismittel. Dazu müsste die Vorinstanz materielles Recht in einer Weise sprechen, dass bestimmte Sachumstände neu und erstmals - durch den angefochtenen Entscheid - Rechtserheblichkeit gewinnen (MEYER/DORMANN, in: Basler Kommentar, Bundesgerichtsgesetz, 2. Aufl. 2011, N. 47 zu Art. 99 BGG ). Dies ist hier nicht der Fall. Bereits das EFD wies das Schadenersatzbegehren u.a. gestützt auf Art. 3 VG ab.</w:t>
      </w:r>
    </w:p>
    <w:p>
      <w:r>
        <w:rPr>
          <w:b/>
        </w:rPr>
        <w:t>E. 1.5</w:t>
      </w:r>
    </w:p>
    <w:p>
      <w:r>
        <w:t>Die Beschwerdeführerin reicht zudem ein Gutachten von Prof. J.________ ein, in welchem dieser Stellung zum Urteil der Vorinstanz nimmt. Beim schweizerischen Recht gilt der Grundsatz der Rechtsanwendung von Amtes wegen nach Art. 106 Abs. 1 BGG uneingeschränkt. Dem Rechtsgutachten einer Verfahrenspartei kommt in diesem Sinne kein eigentlicher Beweiswert zu. Es handelt sich mithin nicht um ein Beweismittel gemäss Art. 99 BGG , sondern es stärkt einzig die Rechtsauffassung der einreichenden Partei. Damit untersteht ein solches Rechtsgutachten von vornherein nicht dem Novenverbot und es ist nicht massgeblich, ob der angefochtene Entscheid Anlass zur Einholung eines Gutachtens gegeben hat oder nicht ( BGE 138 II 217 E. 2.4 S. 220 f.). Das Bundesgericht kann das Gutachten dementsprechend berücksichtigen.</w:t>
      </w:r>
    </w:p>
    <w:p>
      <w:r>
        <w:rPr>
          <w:b/>
        </w:rPr>
        <w:t>E. 2</w:t>
      </w:r>
    </w:p>
    <w:p>
      <w:r>
        <w:t>Die Beschwerdeführerin rügt eine offensichtlich unrichtige Feststellung des Sachverhalts sowie die Verletzung von Bundesrecht insb. die Verletzung des rechtlichen Gehörs ( Art. 29 Abs. 2 BV ) und, wie sich aus der Beschwerdeschrift mit hinreichender Bestimmtheit ergibt, Art. 3 VG .</w:t>
      </w:r>
    </w:p>
    <w:p>
      <w:r>
        <w:rPr>
          <w:b/>
        </w:rPr>
        <w:t>E. 2.1</w:t>
      </w:r>
    </w:p>
    <w:p>
      <w:r>
        <w:t>Die Beschwerdeführerin beanstandet, dass sich die Vorinstanz auf die Unterbrechung des Kausalzusammenhangs beschränkt und den Pflichtverletzungen des Beistandes sowie der Stiftungsaufsicht keine Beachtung geschenkt habe, obschon diese konkret und ausführlich gerügt worden seien. Dadurch seien sowohl der Anspruch der Beschwerdeführerin auf rechtliches Gehör verletzt als auch der Sachverhalt unvollständig festgestellt worden.</w:t>
      </w:r>
    </w:p>
    <w:p>
      <w:r>
        <w:rPr>
          <w:b/>
        </w:rPr>
        <w:t>E. 2.2</w:t>
      </w:r>
    </w:p>
    <w:p>
      <w:r>
        <w:t>Der verfassungsmässige Anspruch auf rechtliches Gehör umfasst das Recht des Betroffenen, sich vor Erlass eines in seine Rechtsstellung eingreifenden Akts zur Sache äussern zu können ( BGE 122 II 274 E. 6b S. 286 f. mit Hinweisen). Er verlangt von der Behörde, dass sie seine Vorbringen tatsächlich hört, ernsthaft prüft und in ihrer Entscheidfindung angemessen berücksichtigt ( BGE 123 I 31 E. 2c S. 34 mit Hinweisen). Dies gilt für alle form- und fristgerechten Äusserungen, Eingaben und Anträge, die zur Klärung der konkreten Streitfrage geeignet und erforderlich erscheinen ( BGE 112 Ia 1 E. 3c S. 3). Die Begründung muss so abgefasst sein, dass der Betroffene den Entscheid gegebenenfalls sachgerecht anfechten kann. Sie muss kurz die wesentlichen Überlegungen nennen, von denen sich das Gericht hat leiten lassen und auf die es seinen Entscheid stützt. Nicht erforderlich ist, dass sich die Begründung mit allen Parteistandpunkten einlässlich auseinandersetzt und jedes einzelne Vorbringen ausdrücklich widerlegt ( BGE 133 III 439 E. 3.3 S. 445 mit Hinweisen).</w:t>
      </w:r>
    </w:p>
    <w:p>
      <w:r>
        <w:rPr>
          <w:b/>
        </w:rPr>
        <w:t>E. 2.3</w:t>
      </w:r>
    </w:p>
    <w:p>
      <w:r>
        <w:t>Die Vorinstanz begründete ihren Entscheid damit, dass kein Kausalzusammenhang zwischen dem Verhalten des EDI und dem Eintritt des Schadens bestehe. Die Sorgfaltspflichtverletzung des Beistandes überwiege die (allfällige) Amtspflichtverletzung des EDI. Bei dieser Betrachtungsweise brauchte die Vorinstanz nicht näher auf das Verhalten des EDI einzugehen, weil die adäquate Kausalität notwendige Voraussetzung für eine Haftung des Staates nach Art. 3 VG ist (vgl. E. 4). Es liegt somit keine Verletzung des rechtlichen Gehörs vor. Die Frage, ob tatsächlich kein adäquater Kausalzusammenhang besteht, wird unter E. 5 und 6 eingehend behandelt.</w:t>
      </w:r>
    </w:p>
    <w:p>
      <w:r>
        <w:rPr>
          <w:b/>
        </w:rPr>
        <w:t>E. 2.4</w:t>
      </w:r>
    </w:p>
    <w:p>
      <w:r>
        <w:t>Im weiteren vermag die Beschwerdeführerin nicht darzulegen, inwiefern der durch die Vorinstanz festgestellte Sachverhalt offensichtlich unrichtig i.S.v. Art. 97 Abs. 1 BGG ist. Sie führt nur aus, dass die Vorinstanz bestimmte Sachverhalte nicht berücksichtigt oder gewürdigt habe. Eine unvollständige Sachverhaltsfeststellung kann jedoch nur gerügt werden, wenn dadurch eine materielle Rechtsverletzung erfolgt. Eine solche liegt vor, wenn die Vorinstanz nicht alle relevanten Tatsachen ermittelt hat, die zur Rechtsanwendung notwendig sind. Geht es um die Anwendung von Bundesrecht, stellt die unvollständige Sachverhaltsfeststellung eine Verletzung von Bundesrecht i.S.v. Art. 95 lit. a BGG dar (SEILER/VON WERDT/GÜNGERICH, Kommentar zum Bundesgerichtsgesetz, Bern 2007, N. 24 zu Art. 97 BGG ). Sie ist deshalb ebenfalls im Zusammenhang mit der behaupteten Verletzung von Art. 3 VG zu prüfen (vgl. E. 5 und 6).</w:t>
      </w:r>
    </w:p>
    <w:p>
      <w:r>
        <w:rPr>
          <w:b/>
        </w:rPr>
        <w:t>E. 3</w:t>
      </w:r>
    </w:p>
    <w:p>
      <w:r>
        <w:t>Die Haftung des Bundes erlischt, wenn der Geschädigte sein Begehren auf Schadenersatz oder Genugtuung nicht innert eines Jahres seit Kenntnis des Schadens einreicht, auf alle Fälle nach zehn Jahren seit dem Tage der schädigenden Handlung des Beamten ( Art. 20 Abs. 1 VG ). Die Vorinstanz stützte sich zur Berechnung der Frist auf den Wissensstand von C.________ ab, welcher als einziges Stiftungsratsmitglied nicht in seiner Funktion eingestellt war. Sie stellte verbindlich fest, dass dieser nicht vor dem 15. September 2009 über genügend Wissen zur Geltendmachung des Schadenersatzanspruchs verfügte. Die relative, einjährige Frist nach Art. 20 Abs. 1 VG ist folglich mit der Eingabe vom 14. September 2010 entgegen dem Entscheid des EFD eingehalten worden. Die Verfahrensbeteiligten stellen diesbezüglich den Sachverhalt im bundesgerichtlichen Verfahren nicht in Frage.</w:t>
      </w:r>
    </w:p>
    <w:p>
      <w:r>
        <w:rPr>
          <w:b/>
        </w:rPr>
        <w:t>E. 4</w:t>
      </w:r>
    </w:p>
    <w:p>
      <w:r>
        <w:t>Gemäss Art. 3 Abs. 1 VG haftet der Bund für den Schaden, den ein Beamter in Ausübung seiner amtlichen Tätigkeit Dritten widerrechtlich zufügt, ohne Rücksicht auf das Verschulden des Beamten. Eine Schadenersatzpflicht bedarf somit folgender Voraussetzungen, welche kumulativ erfüllt sein müssen: Schaden, Verhalten (Tun oder Unterlassen) eines Bundesbeamten in Ausübung seiner amtlichen Tätigkeit, einen adäquaten Kausalzusammenhang zwischen diesem Verhalten und dem Schaden sowie die Widerrechtlichkeit des Verhaltens ( BGE 139 IV 137 E. 4.1 S. 140).</w:t>
      </w:r>
    </w:p>
    <w:p>
      <w:r>
        <w:rPr>
          <w:b/>
        </w:rPr>
        <w:t>E. 4.1</w:t>
      </w:r>
    </w:p>
    <w:p>
      <w:r>
        <w:t>Der Begriff "Beamter" nach Art. 3 VG geht über den dienstrechtlichen Begriff des Beamten bzw. Bediensteten hinaus. Massgebend ist die Personenliste von Art. 1 Abs. 1 VG , die alle Personen umfasst, denen die Ausübung eines öffentlichen Amtes des Bundes übertragen ist. Ohne Belang ist dabei die Natur und Ausgestaltung des Anstellungsverhältnisses. Entscheidendes Kriterium ist einzig und alleine die Erfüllung einer staatlichen Aufgabe bzw. die Ausübung einer Amtsfunktion (TSCHANNEN/ZIMMERLI/MÜLLER, Allgemeines Verwaltungsrecht, 4. Aufl. 2014, § 62 Rz. 18 f.; HÄFELIN/MÜLLER/UHLMANN, Allgemeines Verwaltungsrecht, 6. Aufl. 2010, Rz. 2240). Der Beistand wurde gestützt auf aArt. 393 Ziff. 4 ZGB (AS 24 233), welcher bis am 31. Dezember 2007 in Kraft war (AS 2007 4791), von der zuständigen Vormundschaftsbehörde ernannt. Sein Amt endete mit der Umwandlung in die Sachwalterschaft zu Beginn des Jahres 2009 und nicht bereits mit der Aufhebung von aArt. 393 Ziff. 4 ZGB (HANS MICHAEL RIEMER, Vereins- und Stiftungsrecht, 2012, N. 15 zu Art. 83d ZGB ). Mit dem Vormundschaftswesen waren (und sind immer noch) die Kantone betraut (vgl. aArt. 361 Abs. 2 ZGB; AS 24 233). Sie hafteten für die aus dem Vormundschaftswesen entstehenden Schäden, insb. auch diejenigen, die durch einen Beistand verursacht wurden (RUDOLF SCHROFF, Die Beistandschaft für eine juristische Person, 1953, S. 108), gemäss aArt. 426 ff. ZGB (AS 24 233). Der Bund wiederum ist gestützt auf Art. 84 Abs. 1 ZGB zuständig für die Aufsicht über die Beschwerdeführerin. Die Personen beim EDI, welche für diese Aufgabe zuständig waren, erfüllen ohne Weiteres den Begriff "Beamter" im Sinne des Verantwortlichkeitsgesetzes. Der Bund kann nur für das Verhalten dieser Personen haften, nicht aber für dasjenige des Beistandes.</w:t>
      </w:r>
    </w:p>
    <w:p>
      <w:r>
        <w:rPr>
          <w:b/>
        </w:rPr>
        <w:t>E. 4.2</w:t>
      </w:r>
    </w:p>
    <w:p>
      <w:r>
        <w:t>Wie die Vorinstanz zutreffend festhielt, nimmt der bestellte Beistand gegenüber dem Bund die gleiche Position ein wie jedes andere Stiftungsorgan i.S.v. Art. 55 ZGB . Zwar sei es in der Lehre umstritten gewesen, ob ein Beistand gemäss aArt. 393 Ziff. 4 ZGB im Rahmen seiner Tätigkeit gegenüber Dritten die Stellung eines blossen Vertreters oder diejenige eines Organs habe. Der Beistand amtet jedoch anstelle statutarischer Stiftungsorgane und als deren Ersatz. Ihm kamen deshalb qualitativ dieselben Organfunktionen und -rechte zu. Der Beistand verpflichtete die juristische Person auch in gleicher Weise wie ein Organ (HANS MICHAEL RIEMER, Berner Kommentar, 3. Aufl. 1975, N. 64 zu Art. 83 ZGB [nachfolgend: Berner Kommentar]). Dementsprechend haftete die juristische Person für den Abschluss von Rechtsgeschäften durch ihren Beistand gemäss Art. 55 Abs. 2 ZGB (SCHNYDER/MURER, Berner Kommentar, 3. Aufl. 1984, Rz. 26 zu Art. 393 ZGB ).</w:t>
      </w:r>
    </w:p>
    <w:p>
      <w:r>
        <w:rPr>
          <w:b/>
        </w:rPr>
        <w:t>E. 5</w:t>
      </w:r>
    </w:p>
    <w:p>
      <w:r>
        <w:t>Die Haftung des Bundes setzt weiter voraus, dass das Verhalten des Bundesangestellten bei der Ausübung einer amtlichen Tätigkeit natürlich und adäquat kausal für den behaupteten Schaden war.</w:t>
      </w:r>
    </w:p>
    <w:p>
      <w:r>
        <w:rPr>
          <w:b/>
        </w:rPr>
        <w:t>E. 5.1</w:t>
      </w:r>
    </w:p>
    <w:p>
      <w:r>
        <w:t>Die natürliche Kausalität ist gegeben, wenn ein Handeln Ursache im Sinne einer nicht wegzudenkenden Bedingung (conditio sine qua non) für den Eintritt des Schadens ist. Ob dies zutrifft, ist eine Tatfrage. Rechtsfrage ist dagegen, ob zwischen der Ursache und dem Schadenseintritt ebenfalls ein adäquater Kausalzusammenhang besteht ( BGE 132 III 75 E. 2.2 S. 718). Dies ist dann der Fall, wenn die Ursache nach dem gewöhnlichen Lauf der Dinge und der allgemeinen Lebenserfahrung geeignet ist, einen Erfolg von der Art des eingetretenen herbeizuführen ( BGE 123 III 110 E. 3a S. 112). Der adäquate Kausalzusammenhang fehlt oder ist unterbrochen, wenn eine Schadensursache gegenüber einer anderen völlig in den Hintergrund tritt. Dazu zählt auch ein überwiegendes Selbstverschulden des Geschädigten oder ein entsprechendes Drittverschulden ( BGE 135 IV 56 E. 2.1 S. 64 f.; BGE 123 II 577 E. 6 S. 587, mit Hinweisen; vgl. Art. 44 Abs. 1 OR ; TOBIAS JAAG, Staatshaftung nach dem Entwurf für die Revision und Vereinheitlichung des Haftpflichtrechts, in ZSR 122 II/2003, S. 74 f.). Entscheidend ist dabei die Intensität der beiden Kausalzusammenhänge; erscheint der eine bei wertender Betrachtung als derart intensiv, dass er den anderen gleichsam verdrängt und als unbedeutend erscheinen lässt, wird eine sogenannte Unterbrechung des andern angenommen ( BGE 116 II 519 E. 4b S. 524). Ein Selbstverschulden, das nicht überwiegt, den Kausalzusammenhang somit nicht unterbricht, kann - in analoger Anwendung von Art. 44 Abs. 1 OR - zur Kürzung eines allfälligen Schadenersatzanspruchs führen (Urteil 2C.4/2000 vom 3. Juli 2003 E. 5.2).</w:t>
      </w:r>
    </w:p>
    <w:p>
      <w:r>
        <w:rPr>
          <w:b/>
        </w:rPr>
        <w:t>E. 5.2</w:t>
      </w:r>
    </w:p>
    <w:p>
      <w:r>
        <w:t>Der adäquate Kausalzusammenhang kann auch durch eine Unterlassung begründet werden. Rechtlich wird dem Haftpflichtigen dabei der Vorwurf gemacht, er habe die Änderung des Kausalablaufs unterlassen, zu der er verpflichtet gewesen wäre. Dieser sog. hypothetische Kausalzusammenhang liegt vor, wenn rechtzeitiges Handeln mit überwiegender Wahrscheinlichkeit die Schädigung verhindert hätte (MARTIN A. KESSLER, in: Basler Kommentar, Obligationenrecht I, 6. Aufl. 2015, N. 18 zu Art. 41 OR mit Verweis auf Urteil 2C_834/2009 vom 19. Oktober 2009 E. 2.3). Die wertenden Gesichtspunkte der Adäquanz fliessen dabei schon bei der Feststellung des hypothetischen Kausalverlaufs ein, weshalb es in der Regel nicht sinnvoll ist, den angenommenen hypothetischen Geschehensablauf auch noch auf seine Adäquanz zu überprüfen. Die Feststellungen des Sachrichters im Zusammenhang mit Unterlassungen sind daher entsprechend der allgemeinen Regel über die Verbindlichkeit der Feststellungen zum natürlichen Kausalzusammenhang für das Bundesgericht bindend ( BGE 132 III 715 E. 2.3 S. 719). Nur wenn die hypothetische Kausalität ausschliesslich gestützt auf die allgemeine Lebenserfahrung - und nicht gestützt auf Beweismittel - festgestellt wird, unterliegt sie als Rechtsfrage der freien bundesgerichtlichen Überprüfung ( BGE 132 III 715 E. 2.3 S. 719; vgl. auch BGE 132 III 305 E. 3.5 S. 311, mit Hinweisen).</w:t>
      </w:r>
    </w:p>
    <w:p>
      <w:r>
        <w:rPr>
          <w:b/>
        </w:rPr>
        <w:t>E. 5.3</w:t>
      </w:r>
    </w:p>
    <w:p>
      <w:r>
        <w:t>Die Haftung für eine Unterlassung setzt voraus, dass eine Pflicht zum Handeln bestanden hat. Wer eine Handlung unterlässt, zu der er nach der Rechtsordnung nicht verpflichtet ist, verstösst nicht gegen diese und handelt nicht rechtswidrig. Eine allgemeine Rechtspflicht, im Interesse anderer tätig zu werden, besteht nicht. Vielmehr ist auch die Handlungspflicht nur dann haftpflichtrechtlich von Bedeutung, wenn sie das Interesse des Geschädigten verfolgt und sich aus einer Schutzvorschrift zu dessen Gunsten ergibt. Widerrechtliche Unterlassung setzt damit eine Garantenpflicht für den Geschädigten voraus (vgl. BGE 123 II 577 E. 4d/ff S. 583; 118 Ib 473 E. 2b; je mit Hinweisen; JAAG, a.a.O., S. 44 f.). Dadurch ergibt sich eine Verknüpfung zwischen Adäquanz und Rechtswidrigkeit (KESSLER, a.a.O., N. 19 zu Art. 41 ZGB ). Die Frage der Kausalität kann nicht losgelöst von den Pflichtwidrigkeiten der staatlichen Behörden und einem (allfälligen) Selbstverschulden des Geschädigten beantwortet werden.</w:t>
      </w:r>
    </w:p>
    <w:p>
      <w:r>
        <w:rPr>
          <w:b/>
        </w:rPr>
        <w:t>E. 6</w:t>
      </w:r>
    </w:p>
    <w:p>
      <w:r>
        <w:t>Die Vorinstanz hielt fest, dass im Hinblick auf die Widerrechtlichkeit der Handlungen des EDI zu beurteilen gewesen wäre, ob dieses als Aufsichtsbehörde die Pflicht hatte, den "freiwillig" eingereichten Vereinbarungsentwurf vom 11. Dezember 2001 einer inhaltlichen Prüfung zu unterziehen. Die Vorinstanz liess die Frage jedoch bewusst offen, weil sie die Voraussetzungen für eine Schadensersatzpflicht des Bundes selbst bei einer allfälligen Pflichtverletzung des EDI als nicht erfüllt betrachtete. Das schuldhafte Verhalten des Beistandes, welches sich die Beschwerdeführerin gegenüber dem Bund zurechnen lassen müsse, überwiege gegenüber einer allfälligen Amtspflichtverletzung auf Seiten des EDI. In erster Linie habe der Beistand als Organ der Beschwerdeführerin den entstandenen Schaden verursacht und dadurch den Kausalzusammenhang zwischen der Amtspflichtverletzung des EDI und dem Eintritt des Schadens unterbrochen.</w:t>
      </w:r>
    </w:p>
    <w:p>
      <w:r>
        <w:rPr>
          <w:b/>
        </w:rPr>
        <w:t>E. 6.1</w:t>
      </w:r>
    </w:p>
    <w:p>
      <w:r>
        <w:t>Die Argumentation der Vorinstanz greift aufgrund der notwendigen Voraussetzungen zur Beurteilung der hypothetischen Kausalität zu kurz. Diese kann von vorneherein nur dann definitiv ausgeschlossen werden, wenn die Aufsichtsbehörde überhaupt keine Pflicht zum Handeln traf (fehlende Garantenstellung). Das Fehlen jeglicher Handlungspflichten hat die Vorinstanz jedoch nicht festgestellt. Es ist ihr deshalb nicht möglich, den hypothetischen Kausalzusammenhang zwischen Unterlassung und Schaden als notwendige Haftungsvoraussetzung nach Art. 3 VG zu verneinen.</w:t>
      </w:r>
    </w:p>
    <w:p>
      <w:r>
        <w:rPr>
          <w:b/>
        </w:rPr>
        <w:t>E. 6.2</w:t>
      </w:r>
    </w:p>
    <w:p>
      <w:r>
        <w:t>Haftpflichtrechtlich massgebliche Widerrechtlichkeit setzt die Verletzung eines von der Rechtsordnung geschützten Gutes, eines Rechtsgutes voraus, sei es, dass ein absolutes Recht des Geschädigten verletzt (Erfolgsunrecht), sei es, dass eine reine Vermögensschädigung durch Verstoss gegen eine einschlägige Schutznorm bewirkt wird (Verhaltensunrecht). Vorbehalten bleiben in jedem Fall Rechtfertigungsgründe. Das Vermögen als solches ist kein Rechtsgut, seine Schädigung für sich allein somit nicht widerrechtlich. Vermögensschädigungen ohne Rechtsgutsverletzung sind daher an und für sich nicht rechtswidrig; sie sind es nur, wenn sie auf ein Verhalten zurückgehen, das von der Rechtsordnung als solches, d.h. unabhängig von seiner Wirkung auf das Vermögen, verpönt wird. Vorausgesetzt wird, dass die verletzten Verhaltensnormen zum Schutz vor diesen Schädigungen dienen (vgl. BGE 123 II 577 E. 4d-f S. 581 ff.; 118 Ib 473 E. 2b; je mit Hinweisen; VOLKER PRIBNOW/JOST GROSS, Staats- und Beamtenhaftung, in: Münch/Geiser [Hrsg.], Haftung und Versicherung, Handbücher für die Anwaltspraxis, 2. Aufl. 2015, Rz. 3.35; JAAG, a.a.O., S. 59 ff.). Eine haftungsbegründende Widerrechtlichkeit liegt aber nicht bei jeder Amtspflichtverletzung vor, sondern erst dann, wenn eine für die Ausübung der hoheitlichen (amtlichen) Funktion wesentliche Amtspflicht verletzt worden ist (vgl. BGE 123 II 577 E. 4d/dd S. 582; 118 Ib 163 E. 2 S. 164; je mit Hinweisen).</w:t>
      </w:r>
    </w:p>
    <w:p>
      <w:r>
        <w:rPr>
          <w:b/>
        </w:rPr>
        <w:t>E. 6.3</w:t>
      </w:r>
    </w:p>
    <w:p>
      <w:r>
        <w:t>Die Vernachlässigung von Aufsichtspflichten kann eine solch massgebliche Amtspflichtwidrigkeit darstellen (JAAG, a.a.O., S. 44 und 61). Eine Haftung der Aufsicht ist deshalb nicht grundsätzlich ausgeschlossen und näher zu prüfen. Sie richtet sich dabei ausschliesslich nach Art. 61 OR (RIEMER, Berner Kommentar, a.a.O., N. 53 zu Art. 84 ZGB ) und dementsprechend hier, betreffend das EDI, nach dem Verantwortlichkeitsgesetz.</w:t>
      </w:r>
    </w:p>
    <w:p>
      <w:r>
        <w:rPr>
          <w:b/>
        </w:rPr>
        <w:t>E. 6.3.1</w:t>
      </w:r>
    </w:p>
    <w:p>
      <w:r>
        <w:t>Im Bereich der Stiftungen dient die Aufsicht gemäss Art. 84 Abs. 2 ZGB der Sicherung des Stiftungszwecks sowie der Funktionstüchtigkeit der Stiftung und damit dem Schutz der Stiftung selbst (HAROLD GRÜNINGER, in: Basler Kommentar, Zivilgesetzbuch I, 5. Aufl. 2014, N. 1 zu Art. 84 ZGB ). Die Pflichten der Stiftungsaufsicht sind nicht eindeutig umschrieben. Es handelt sich um eine reine Rechtsaufsicht; beaufsichtigt wird einzig, ob sich die Stiftung und ihre Organe rechtmässig verhalten. Allgemein hat sie bei ihrer Tätigkeit die Autonomie der Stiftungsorgane zu respektieren. Ein Eingriff in den Autonomiebereich darf nicht schärfer sein, als es der Zweck der Massnahme gebietet. Die Aufsicht bedeutet keine Beistandschaft, weshalb ein Handeln an Stelle der Stiftungsorgane - vorbehältlich einer Ersatzvornahme - nicht angeht. In Ermessensfragen soll sich die Behörde zurückhalten und sich nicht in den Ermessensspielraum der Stiftungsorgane einmischen. Die Aufsichtsbehörde hat erst und nur soweit einzugreifen, als die rechtmässige Zweckerfüllung einer Stiftung gefährdet ist (GRÜNINGER, a.a.O., N. 9 f. zu Art. 84). Es steht ihr ein gewisser Beurteilungsspielraum im Einzelfall zu, ob die Voraussetzungen für ein Tätigwerden vorliegen ( BGE 116 Ib 193 E. 2d S. 197).</w:t>
      </w:r>
    </w:p>
    <w:p>
      <w:r>
        <w:rPr>
          <w:b/>
        </w:rPr>
        <w:t>E. 6.3.2</w:t>
      </w:r>
    </w:p>
    <w:p>
      <w:r>
        <w:t>Ist die Notwendigkeit des Einschreitens der Aufsichtsbehörde zu bejahen, ist es eine Frage des Ermessens, welche konkreten Massnahmen im Einzelfall angezeigt sind. Eine haftungsbegründende Widerrechtlichkeit liegt im Bereich des Ermessens nur dann vor, wenn Ermessen innerhalb des gesetzlichen Rahmens über- oder unterschritten oder wenn innerhalb des Ermessensrahmens das Ermessen missbraucht wird. Die Aufgaben der Aufsichtsbehörden lassen einen weiten Spielraum technischen Ermessens zu, so dass die Möglichkeit der Geltendmachung von Verantwortlichkeitsansprüchen von vornherein eingeschränkt ist (ISABELLE VETTER-SCHREIBER, Staatliche Haftung bei mangelhafter BVG-Aufsichtstätigkeit, Zürich 1995, S. 155; vgl. auch JOST GROSS, Schweizerisches Staatshaftungsrecht, Bern 1995, S. 245).</w:t>
      </w:r>
    </w:p>
    <w:p>
      <w:r>
        <w:rPr>
          <w:b/>
        </w:rPr>
        <w:t>E. 6.3.3</w:t>
      </w:r>
    </w:p>
    <w:p>
      <w:r>
        <w:t>Weil der Stiftungsrat der Beschwerdeführerin nicht mehr handlungsfähig war, griff die Aufsichtsbehörde am 10. August 2000 ein und ersuchte u.a. die Vormundschaftsbehörde um die Einsetzung eines Beistandes, welcher noch gleichentags ernannt wurde. Im ersten, bereits vor der Vorinstanz eingereichten Rechtsgutachten vertritt die Beschwerdeführerin die Ansicht, dass aufgrund von Art. 84 Abs. 2 ZGB die Stiftungsaufsicht zusätzlich zu den veranlassten Massnahmen eine Genehmigungspflicht für sämtliche Vergleiche treffe, welche eine Stiftung abschliessen möchte, weil diese ihrer Natur nach das Risiko einer erheblichen Vermögensschmälerung zu Lasten der Stiftung beinhalteten. Diese Ansicht kann sich aber weder auf die bundesgerichtliche Rechtsprechung noch auf die soeben zitierte Lehre abstützen. Ein Genehmigungsvorbehalt besteht von Gesetzes wegen nur dann, wenn die Gefahr einer Zweckentfremdung von Stiftungsvermögen offenkundig ist ( BGE 71 I 454 E. 3 S. 459), und bildet eine Ausnahme (VETTER-SCHREIBER, a.a.O., S. 66). Andernfalls müsste als Konsequenz jedes umfangreichere Rechtsgeschäft der Aufsicht zur Genehmigung vorgelegt werden, weil dadurch das Stiftungsvermögen potentiell geschmälert werden könnte. Eine solches Vorgehen wäre jedoch mit der postulierten Autonomie der Stiftung nicht vereinbar. Zudem ist die Stiftungsaufsicht im bestehenden Umfang wohl kaum in der Lage, alle bedeutsamen Rechtsgeschäfte sämtlicher Stiftungen vorgängig zu kontrollieren. Wie der Verfasser des Rechtsgutachtens selber festgehalten hat, sieht dementsprechend auch kein Kanton eine solch umfassende Genehmigungspflicht vor (RIEMER, Berner Kommentar, a.a.O., N. 84 zu Art. 84 ZGB ).</w:t>
      </w:r>
    </w:p>
    <w:p>
      <w:r>
        <w:rPr>
          <w:b/>
        </w:rPr>
        <w:t>E. 6.4</w:t>
      </w:r>
    </w:p>
    <w:p>
      <w:r>
        <w:t>Die Aufsichtsbehörde nahm den Entwurf der Vereinbarung dennoch entgegen, unterzog diesen einer kurzen Prüfung (Antwort innerhalb weniger Stunden) und gab danach, obschon sie dazu nicht gehalten war, ihre Zustimmung zum Abschluss der Vereinbarung, welche jedoch nicht im Interesse der Stiftung lag. Darin kann eine Pflichtverletzung erblickt werden, wenn die Aufsichtsbehörde hätte erkennen müssen, dass das unterbreitete Geschäft die rechtmässige Zweckerfüllung der Stiftung gefährdet bzw. die Gefahr einer Zweckentfremdung des Stiftungsvermögens offenkundig war. Um das beurteilen zu können, muss die Vorinstanz den Wissensstand der Aufsichtsbehörde ermitteln. Stellt sie im Anschluss daran eine Pflichtverletzung fest, hat sie zusätzlich zu eruieren, ob das pflichtgemässe Handeln den Eintritt der Schädigung mit grösster Wahrscheinlichkeit verhindert hätte oder ob der Beistand die Vereinbarung auch ohne Zustimmung der Aufsichtsbehörde abgeschlossen hätte (hypothetische Kausalität im engeren, rein natürlichen Sinn). Erst danach können die allfälligen Pflichtverletzungen von Aufsicht und Stiftung miteinander verglichen und geprüft werden, ob das Selbstverschulden der Beschwerdeführerin tatsächlich den hypothetischen Kausalzusammenhang unterbrochen hat, weil es die Amtspflichtverletzung der Aufsichtsbehörde überwiegt.</w:t>
      </w:r>
    </w:p>
    <w:p>
      <w:r>
        <w:rPr>
          <w:b/>
        </w:rPr>
        <w:t>E. 6.5</w:t>
      </w:r>
    </w:p>
    <w:p>
      <w:r>
        <w:t>Die Erwägungen der Vorinstanz zur Kausalität erweisen sich deshalb als offensichtlich unvollständig. Sie hat nicht alle relevanten Tatsachen ermittelt, die zur Anwendung von Art. 3 VG notwendig gewesen wären und verletzt dadurch Bundesrecht (E. 2.4). Die Behebung des Mangels ist zudem für den Ausgang des Verfahrens entscheidend, könnte doch der Bund bei einem bestehenden Kausalzusammenhang entschädigungspflichtig werden. Die Sache ist zur Ermittlung des massgebenden Sachverhalts an die Vorinstanz zurückzuweisen.</w:t>
      </w:r>
    </w:p>
    <w:p>
      <w:r>
        <w:rPr>
          <w:b/>
        </w:rPr>
        <w:t>E. 7</w:t>
      </w:r>
    </w:p>
    <w:p>
      <w:r>
        <w:t>Bei einem Vergleich zwischen einer allfälligen Amtspflichtverletzung der Aufsichtsbehörde und den Verfehlungen der Stiftung hat die Vorinstanz Folgendes zu beachten:</w:t>
      </w:r>
    </w:p>
    <w:p>
      <w:r>
        <w:rPr>
          <w:b/>
        </w:rPr>
        <w:t>E. 7.1</w:t>
      </w:r>
    </w:p>
    <w:p>
      <w:r>
        <w:t>Das reine Abstellen auf den Verschuldensvergleich führt nicht in allen Fällen zu befriedigenden Ergebnissen, weil die Schwere der Verfehlungen des Geschädigten und diejenigen der Kontrollinstanz in einer gegenseitigen Abhängigkeit zueinander stehen. Eine Aufsichtsbehörde muss gerade dann intervenieren, wenn die Organe der beaufsichtigten Person diese grob schuldhaft schädigen, vorausgesetzt, sie könnte von diesen Vorgängen Kenntnis haben und Massnahmen ergreifen. Würde das Selbstverschulden des Beaufsichtigen die Haftung der Aufsichtsbehörde grundsätzlich ausschliessen, ergäben sich für das beaufsichtigende Gemeinwesen ausgerechnet dann keine nachteiligen Konsequenzen, wenn es seine Aufgaben in schwerwiegender Weise gar nicht oder nur mangelhaft wahrgenommen hat (vgl. zu dieser Problematik auch NADINE MAYHALL, Aufsicht und Staatshaftung, Zürich 2008, S. 300). Sinn und Zweck der Aufsichtspflicht, nämlich zusätzliche Gewähr für die Zweckverwirklichung der Stiftung zu bieten (MARCO LANTER, Die Verantwortlichkeit von Stiftungsorganen, Zürich 1984, S. 69), wären dadurch in Frage gestellt.</w:t>
      </w:r>
    </w:p>
    <w:p>
      <w:r>
        <w:rPr>
          <w:b/>
        </w:rPr>
        <w:t>E. 7.2</w:t>
      </w:r>
    </w:p>
    <w:p>
      <w:r>
        <w:t>Eine Stiftung muss sich das fehlbare Verhalten ihrer Organe als Selbstverschulden anrechnen lassen. Die Verwaltung der Stiftung trägt die primäre Verantwortung für die Einhaltung der gesetzlichen und statutarischen Bestimmungen. Sie ist mit den konkreten Umständen am besten vertraut und es bedarf nicht zuerst eines Hinweises seitens der Aufsichtsbehörde, damit sie weiss, was zu tun oder zu unterlassen ist. Da die Stiftungsaufsicht aber gerade dem Schutz des Stiftungszwecks und des Stiftungsvermögens vor einer Schädigung durch die Stiftungsorgane dient (vorne E. 6.3.1), kann deren Handeln nicht von vornherein den Kausalzusammenhang zwischen dem Handeln der Aufsichtsbehörde und dem Schadenseintritt unterbrechen.</w:t>
      </w:r>
    </w:p>
    <w:p>
      <w:r>
        <w:rPr>
          <w:b/>
        </w:rPr>
        <w:t>E. 7.3</w:t>
      </w:r>
    </w:p>
    <w:p>
      <w:r>
        <w:t>Im vergleichbaren Bereich der Gemeindeaufsicht hat das Bundesgericht ebenfalls erkannt, dass eine Haftung des Kantons gegenüber einer Gemeinde wegen Missachtung seiner Aufsichtspflicht nicht von vornherein ausgeschlossen ist; sie setzt aber voraus, dass seine Verantwortlichkeit nicht durch diejenige der Gemeinde selber verdrängt wird. Das wäre insbesondere nicht der Fall, wenn die Gemeindeorgane kein oder lediglich ein geringfügiges Verschulden treffen würde, dem eine grobe Amtspflichtverletzung der kantonalen Behörden gegenüber steht (Urteil 2C.4/2000 vom 3. Juli 2003 E. 8.5.1).</w:t>
      </w:r>
    </w:p>
    <w:p>
      <w:r>
        <w:rPr>
          <w:b/>
        </w:rPr>
        <w:t>E. 7.4</w:t>
      </w:r>
    </w:p>
    <w:p>
      <w:r>
        <w:t>Anders als in jenem Fall, wo der im Streit stehenden Gemeinde mehrere Kontrollorgane zur Verfügung standen (zit. Urteil 2C.4/2000 E.7.3.3.), hatte hier aber die Beschwerdeführerin nur noch ein handlungsfähiges Organ, nämlich den Beistand. Der Umstand, dass dieser selbständig gehandelt, die Verhandlungen, die zur Vereinbarung vom 21. Dezember 2001 mündeten, allein geführt hat und mit den Angelegenheiten der Beschwerdeführerin vertraut war, vermag nach dem Gesagten eine Haftung der Aufsichtsbehörde nicht von vornherein auszuschliessen. Die Vorinstanz geht davon aus, B.________ hätte gestützt auf die damals greifbaren Informationen klarerweise keinen Anspruch auf die Vermögenswerte gehabt. Der Beistand hat aber offenbar gerade deswegen die Aufsichtsbehörde um Prüfung ersucht, weil er unsicher war. Hätte die Aufsichtsbehörde von der Vereinbarung abgeraten oder auch schon nur mitgeteilt, dass sie sich dazu nicht äussern wolle, hätte der Beistand die Vereinbarung möglicherweise nicht abgeschlossen. Zu berücksichtigen ist zudem auch, dass nicht nur der Beistand, sondern auch die Aufsichtsbehörde aufgrund ihrer bisherigen Befassung von den Angelegenheiten der Beschwerdeführerin Kenntnisse hatte.</w:t>
      </w:r>
    </w:p>
    <w:p>
      <w:r>
        <w:t>Insgesamt kann nicht bereits mit dem Hinweis auf das Verhalten des Beistands der Kausalzusammenhang zwischen einer (allfälligen) Amtspflichtverletzung des EDI und dem Schaden als unterbrochen bezeichnet werden. Die Sache ist daher nur neuen Prüfung im Sinne des vorne (E. 6.4) Ausgeführten an die Vorinstanz zurückzuweisen.</w:t>
      </w:r>
    </w:p>
    <w:p>
      <w:r>
        <w:rPr>
          <w:b/>
        </w:rPr>
        <w:t>E. 8.1</w:t>
      </w:r>
    </w:p>
    <w:p>
      <w:r>
        <w:t>Die Beschwerde in öffentlich-rechtlichen Angelegenheiten erweist sich als begründet und ist gutzuheissen. Die Sache ist an das Bundesverwaltungsgericht zur Fortführung des Verfahrens im Sinne der Erwägungen zurückzuweisen.</w:t>
      </w:r>
    </w:p>
    <w:p>
      <w:r>
        <w:rPr>
          <w:b/>
        </w:rPr>
        <w:t>E. 8.2</w:t>
      </w:r>
    </w:p>
    <w:p>
      <w:r>
        <w:t>Die Rückweisung zur im Ergebnis offenen Neubeurteilung gilt als Obsiegen des Beschwerdeführers ( BGE 137 V 210 E. 7.1 S. 271). Das Eidgenössische Finanzdepartement um dessen Vermögensinteresse es geht ( BGE 134 I 331 E. 3.2 S. 336), trägt die Verfahrenskosten ( Art. 66 Abs. 4 BGG ) und hat der Beschwerdeführerin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