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2C_1058/2012 vom 27. Oktober 2012</w:t>
      </w:r>
    </w:p>
    <w:p>
      <w:r>
        <w:t>Bundesgericht, 2012-10-27, IT</w:t>
      </w:r>
    </w:p>
    <w:p>
      <w:r>
        <w:rPr>
          <w:b/>
        </w:rPr>
        <w:t xml:space="preserve">Quelle: </w:t>
      </w:r>
      <w:r>
        <w:t>https://mcp.opencaselaw.ch/entscheid/bger_2C_1058_2012</w:t>
      </w:r>
    </w:p>
    <w:p>
      <w:r>
        <w:t>FR: TF 2C_1058/2012 du 27 octobre 2012</w:t>
      </w:r>
    </w:p>
    <w:p>
      <w:r>
        <w:t>IT: TF 2C_1058/2012 del 27 ottobre 2012</w:t>
      </w:r>
    </w:p>
    <w:p>
      <w:pPr>
        <w:pStyle w:val="Heading2"/>
      </w:pPr>
      <w:r>
        <w:t>Erwägungen</w:t>
      </w:r>
    </w:p>
    <w:p>
      <w:r>
        <w:rPr>
          <w:b/>
        </w:rPr>
        <w:t>E. 1</w:t>
      </w:r>
    </w:p>
    <w:p>
      <w:r>
        <w:t>Il Tribunale federale esamina d'ufficio e con piena cognizione la sua competenza ( art. 29 cpv. 1 LTF ) e l'ammissibilità dei ricorsi che gli vengono sottoposti ( DTF 136 I 42 consid. 1 pag. 43).</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precedenti, bensì deve confrontarsi criticamente con i considerandi della decisione dell'autorità inferiore che reputa lesivi del diritto (cfr. DTF 121 III 397 consid. 2a pag. 400).</w:t>
      </w:r>
    </w:p>
    <w:p>
      <w:r>
        <w:rPr>
          <w:b/>
        </w:rPr>
        <w:t>E. 2.1.1</w:t>
      </w:r>
    </w:p>
    <w:p>
      <w:r>
        <w:t>Benché redatto da un avvocato, il ricorso non rispetta manifestamente i predetti requisiti di motivazione: il patrocinatore del ricorrente, dopo aver addotto che il suo cliente è inabile al lavoro per motivi di salute e che sono in corso ulteriori accertamenti da parte dell'Ufficio AI, si limita a dichiarare di contestare la sentenza impugnata e a chiedere la conferma del preavviso favorevole (alla proroga del permesso) emesso dall'autorità cantonale, che conoscerebbe bene la fattispecie. Non si confronta invece con l'esauriente argomentazione sviluppata dal Tribunale amministrativo federale (cfr. sentenza impugnata consid. 5 a 7 pag. 9 a 14), segnatamente non sostanzia una qualsiasi violazione del diritto (art. 95 segg. LTF). L'impugnativa, manifestamente non motivata in modo sufficiente, si rivela quindi inammissibile.</w:t>
      </w:r>
    </w:p>
    <w:p>
      <w:r>
        <w:rPr>
          <w:b/>
        </w:rPr>
        <w:t>E. 3.1</w:t>
      </w:r>
    </w:p>
    <w:p>
      <w:r>
        <w:t>Per quanto precede, il gravame va dichiarato inammissibile secondo la procedura semplificata dell' art. 108 cpv. 1 lett. b LTF .</w:t>
      </w:r>
    </w:p>
    <w:p>
      <w:r>
        <w:rPr>
          <w:b/>
        </w:rPr>
        <w:t>E. 3.2</w:t>
      </w:r>
    </w:p>
    <w:p>
      <w:r>
        <w:t>Con l'evasione del ricorso, la domanda di conferimento dell'effetto sospensivo è divenuta priva d'oggetto.</w:t>
      </w:r>
    </w:p>
    <w:p>
      <w:r>
        <w:rPr>
          <w:b/>
        </w:rPr>
        <w:t>E. 3.3</w:t>
      </w:r>
    </w:p>
    <w:p>
      <w:r>
        <w:t>Per quanto riguarda la domanda di assistenza giudiziaria presentata con atto separato, la stessa non può trovare accoglimento già per il fatto (il quale peraltro non doveva sfuggire all'avvocato del ricorrente) che un semplice rinvio agli atti prodotti in sede cantonale non è ammissibile, la relativa istanza dovendo infatti, in virtù dell' art. 64 LTF , essere compiutamente motivata e documentata (cfr. sentenza 2C_238/2012 del 30 luglio 2012 consid. 5.2 e rinvii). Sennonché, come già spiegato nel passato all'avvocato B.________ che patrocina il qui ricorrente (sentenza 2C_686/2010 del 21 settembre 2010 consid. 3.2), visto il carattere temerario del ricorso esperito dinanzi a questa Corte il quale, in dispregio delle basilari esigenze legali non contiene alcuna motivazione giuridica, le spese giudiziarie vanno poste a suo carico (cfr. art. 66 cpv. 3 LTF ; sentenza 2C_686/2010 citata e rinvii giurisprudenziali).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