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2C_1055/2012 vom 22. Januar 2014</w:t>
      </w:r>
    </w:p>
    <w:p>
      <w:r>
        <w:t>Bundesgericht, 2014-01-22, DE</w:t>
      </w:r>
    </w:p>
    <w:p>
      <w:r>
        <w:rPr>
          <w:b/>
        </w:rPr>
        <w:t xml:space="preserve">Quelle: </w:t>
      </w:r>
      <w:r>
        <w:t>https://mcp.opencaselaw.ch/entscheid/bger_2C_1055_2012</w:t>
      </w:r>
    </w:p>
    <w:p>
      <w:r>
        <w:t>FR: TF 2C_1055/2012 du 22 janvier 2014</w:t>
      </w:r>
    </w:p>
    <w:p>
      <w:r>
        <w:t>IT: TF 2C_1055/2012 del 22 gennaio 2014</w:t>
      </w:r>
    </w:p>
    <w:p>
      <w:pPr>
        <w:pStyle w:val="Heading2"/>
      </w:pPr>
      <w:r>
        <w:t>Erwägungen</w:t>
      </w:r>
    </w:p>
    <w:p>
      <w:r>
        <w:rPr>
          <w:b/>
        </w:rPr>
        <w:t>E. 1.1</w:t>
      </w:r>
    </w:p>
    <w:p>
      <w:r>
        <w:t>Dem vorliegenden Verfahren liegt eine verwaltungsrechtliche Klage der Einwohnergemeinde Attinghausen gegen die ZAKU AG zugrunde, die das Obergericht des Kantons Uri gutgeheissen hat. Dieses Urteil stellt einen kantonal letztinstanzlichen Endentscheid im Sinne von Art. 86 Abs. 1 lit. d und Art. 90 BGG dar und kann mit Beschwerde in öffentlich-rechtlichen Angelegenheiten gemäss Art. 82 lit. a BGG beim Bundesgericht angefochten werden. Es liegt kein Ausschlussgrund nach Art. 83 BGG vor. Die Beschwerdefrist nach Art. 100 Abs. 1 BGG ist eingehalten.</w:t>
      </w:r>
    </w:p>
    <w:p>
      <w:r>
        <w:rPr>
          <w:b/>
        </w:rPr>
        <w:t>E. 1.2</w:t>
      </w:r>
    </w:p>
    <w:p>
      <w:r>
        <w:t>Bei der Beschwerdeführerin handelt es sich um eine Aktiengesellschaft als kantonal öffentlich-rechtliche Körperschaft im Sinne von Art. 38 ff. des Kantonalen Umweltgesetzes vom 11. März 2007 (KUG/UR; RB 40.7011), die eine Forderung der Einwohnergemeinde Attinghausen aus einem öffentlich-rechtlichen Vertrag bestreitet (vgl. auch angefochtener Entscheid E. 1b).</w:t>
      </w:r>
    </w:p>
    <w:p>
      <w:r>
        <w:t>Gemeinden und andere öffentlich-rechtliche Körperschaften sind in erster Linie zur Beschwerde berechtigt, wenn sie die Verletzung von Garantien rügen, die ihnen die Kantons- oder Bundesverfassung gewährt ( Art. 89 Abs. 2 lit. c BGG ). Um eine Beschwerdeberechtigung auf Grundlage dieser spezifischen Bestimmung annehmen zu können, muss das Gemeinwesen allerdings die Existenz solcher ihm zuerkannten verfassungsmässigen Garantien rechtsgenüglich dartun (vgl. das zur Publikation vorgesehene Urteil 2C_169/2013 vom 20. Januar 2014 E. 1.1 sowie das Urteil 2C_226/2012 vom 10. Juni 2013 E. 2.1). Dies ist vorliegend nicht der Fall, da sich die Beschwerdeführerin nicht auf Art. 89 Abs. 2 lit. c BGG beruft, so dass im Hinblick auf die Berechtigung zur Beschwerde allenfalls noch das aus Art. 89 Abs. 1 BGG fliessende allgemeine Beschwerderecht in Frage kommt (Urteile 2C_226/2012 vom 10. Juni 2013 E. 2; 2C_1016/2011 vom 3. Mai 2012 E. 1.2.2, nicht publiziert in: BGE 138 I 196 ). Zumal diese Regelung vornehmlich auf Privatpersonen zugeschnitten ist (Urteil 1C_403/2012 vom 23. Mai 2013 E. 3.1), dürfen Gemeinwesen gestützt auf die allgemeine Legitimationsklausel nur restriktiv zur Beschwerdeführung zugelassen werden ( BGE 138 II 506 E. 2.2.1 S. 509 ; 135 I 43 E. 1.3 S. 47; Urteil 2C_169/2013 vom 20. Januar 2014 E. 1.2, zur Publikation vorgesehen).</w:t>
      </w:r>
    </w:p>
    <w:p>
      <w:r>
        <w:t>Gemeinden und andere öffentlich-rechtliche Körperschaften sind zur Beschwerde nach Art. 89 Abs. 1 BGG berechtigt, falls sie durch einen angefochtenen Entscheid gleich oder ähnlich wie ein Privater oder aber in schutzwürdigen eigenen hoheitlichen Interessen berührt sind und nicht bloss das allgemeine Interesse an der richtigen Rechtsanwendung geltend machen ( BGE 138 II 506 E. 2.1.1 S. 508; vgl. auch BGE 134 I 204 E. 2 S. 207 [kommunaler Zweckverband]; 134 II 137 E. 1.2 S. 139 [Genossenschaft]). Vorliegend ist die Beschwerdeführerin durch den angefochtenen Entscheid weder gleich noch ähnlich wie ein Privater betroffen. Einerseits nimmt sie im Interesse der Allgemeinheit eine öffentlich-rechtliche Aufgabe wahr (Kehrichtbeseitigung); andererseits handelt es sich bei der Streitigkeit um die Fortsetzung einer im Rahmen eines öffentlich-rechtlichen Vertrages zwischen zwei Körperschaften vereinbarten Steuerausfallentschädigung, deren Ursprung per se in der hoheitlichen Tätigkeit der Parteien zu suchen ist.</w:t>
      </w:r>
    </w:p>
    <w:p>
      <w:r>
        <w:t>Aus den vorangehenden Erwägungen ergibt sich, dass die Beschwerdeführerin ihre Beschwerdeberechtigung auf die Wahrnehmung einer hoheitlichen Aufgabe stützen kann. Hiezu hat die II. öffentlich-rechtliche Abteilung kürzlich, unter Zustimmung der Vereinigung aller betroffenen Abteilungen des Bundesgerichts ( Art. 23 Abs. 2 BGG ), die veröffentlichte Rechtsprechung bestätigt, nach welcher das sich auf das allgemeine Beschwerderecht nach Art. 89 Abs. 1 BGG berufende Gemeinwesen nicht nur darlegen müsse, in seinen "schutzwürdigen hoheitlichen Interessen berührt" zu sein, sondern darüber hinaus auch regelmässig eine "</w:t>
      </w:r>
    </w:p>
    <w:p>
      <w:r>
        <w:t>erhebliche Betroffenheit " nachzuweisen habe (Urteil 2C_169/2013 vom 20. Januar 2014 E. 1.2.2 sowie E. 1.2.4, zur Publikation vorgesehen: "touchée dans des intérêts centraux liés à sa puissance publique"; s. auch Urteil 2C_1016/2011 vom 3. Mai 2012 E. 1.2.1, unveröffentlicht in: BGE 138 I 196 ).</w:t>
      </w:r>
    </w:p>
    <w:p>
      <w:r>
        <w:t>Zwar entbehrt die Beschwerdeschrift in ihrem Abschnitt "Formelles und Verfahrensmässiges" jeglicher Ausführung zur Problematik der Beschwerdeberechtigung gemäss Art. 89 Abs. 1 BGG , doch geht aus dem Streitgegenstand eindeutig hervor, dass das angefochtene obergerichtliche Urteil des Kantons Uri zu Lasten der Beschwerdeführerin nicht nur die Auferlegung von objektiv hohen Abgeltungsbeträgen bestätigt, sondern darüber hinaus deren Zahlungspflicht gegenüber der Beschwerdegegnerin für die Gesamtdauer der Deponieetappen festlegt, somit auch die Ressourcen der in der Form einer Aktiengesellschaft konstituierten Beschwerdeführerin für einen längeren Zeitraum bindet. Des Weiteren rügt das interessierte öffentlich-rechtliche Unternehmen nicht ausschliesslich die in Frage stehenden Geldbeträge, sondern beanstandet vom Prinzip her die von der Vorinstanz festgehaltene Auslegung des der Streitigkeit zugrunde liegenden Vertrages. Aus diesen Gründen rechtfertigt es sich, bei der Beschwerdeführerin von einer qualifizierten Betroffenheit in der Wahrnehmung ihrer hoheitlichen Aufgaben auszugehen. Demnach ist grundsätzlich auf die Beschwerde einzutreten, wobei die Anforderungen an die Begründungspflicht vorbehalten bleiben.</w:t>
      </w:r>
    </w:p>
    <w:p>
      <w:r>
        <w:rPr>
          <w:b/>
        </w:rPr>
        <w:t>E. 1.3</w:t>
      </w:r>
    </w:p>
    <w:p>
      <w:r>
        <w:t>Das Bundesgericht prüft die Anwendung des Bundesrechts frei und von Amtes wegen ( Art. 95 lit. a und Art. 106 Abs. 1 BGG ). Die Verletzung von Grundrechten und von kantonalem Recht prüft es nur auf entsprechende Rüge hin ( Art. 106 Abs. 2 BGG ). Das Bundesgericht legt seinem Urteil den Sachverhalt zugrunde, den die Vorinstanz festgestellt hat. Es kann die Sachverhaltsfeststellung der Vorinstanz auf genügend begründete Rüge hin ( Art. 106 Abs. 2 BGG ) oder von Amtes wegen berichtigen oder ergänzen, wenn sie offensichtlich unrichtig ist oder auf einer Rechtsverletzung im Sinne von Artikel 95 beruht und wenn die Behebung des Mangels für den Ausgang des Verfahrens entscheidend sein kann (Art. 97 Abs. 1, Art. 105 Abs. 1 und 2 BGG ).</w:t>
      </w:r>
    </w:p>
    <w:p>
      <w:r>
        <w:rPr>
          <w:b/>
        </w:rPr>
        <w:t>E. 2</w:t>
      </w:r>
    </w:p>
    <w:p>
      <w:r>
        <w:t>Streitig ist hier die Auslegung von Art. 4.3 bzw. 6.1 der Vereinbarung über die Kehrichtdeponie in den Steinbrüchen Attinghausen zwischen dem Zweckverband Uri für Kehrichtbeseitigung (heute: ZAKU AG) und der Einwohnergemeinde Attinghausen vom 12. März bzw. 1. April 1985 (in der am 17. Juni 1992 einvernehmlich abgeänderten Version).</w:t>
      </w:r>
    </w:p>
    <w:p>
      <w:r>
        <w:rPr>
          <w:b/>
        </w:rPr>
        <w:t>E. 2.1</w:t>
      </w:r>
    </w:p>
    <w:p>
      <w:r>
        <w:t>Die Verfahrensbeteiligten sind sich einig, dass es sich bei der oben erwähnten Vereinbarung um einen (kantonalen) öffentlich-rechtlichen Vertrag handelt, der praxisgemäss wie ein privatrechtlicher Vertrag auszulegen ist (vgl. Urteile 2C_815/2012 vom 24. Juni 2013 E. 2.1; 2C_258/2011 vom 30. August 2012 E. 4.1). Dabei ist in erster Linie auf den übereinstimmenden wirklichen Willen der Parteien abzustellen ( Art. 18 Abs. 1 OR ; empirische oder</w:t>
      </w:r>
    </w:p>
    <w:p>
      <w:r>
        <w:t>subjektive Vertragsauslegung). Die subjektive Vertragsauslegung bezieht sich auf den Willen der Vertragsparteien im Zeitpunkt des Vertragsschlusses. Nachträgliches Parteiverhalten kann berücksichtigt werden, wenn es Rückschlüsse auf den tatsächlichen Willen der Parteien zulässt ( BGE 132 III 626 E. 3.1 S. 632; 129 III 675 E. 2.3 S. 680). Lässt sich ein übereinstimmender Parteiwille nicht feststellen, ist der Vertrag so auszulegen, wie er nach dem Vertrauensgrundsatz verstanden werden durfte und musste (normative oder</w:t>
      </w:r>
    </w:p>
    <w:p>
      <w:r>
        <w:t>objektive Vertragsauslegung; BGE 137 III 145 E. 3.2.1 S. 148; 136 III 186 E. 3.2.1 S. 188; 135 V 237 E. 3.6 S. 241 f.).</w:t>
      </w:r>
    </w:p>
    <w:p>
      <w:r>
        <w:rPr>
          <w:b/>
        </w:rPr>
        <w:t>E. 2.2</w:t>
      </w:r>
    </w:p>
    <w:p>
      <w:r>
        <w:t>Auch die objektive Vertragsauslegung ergibt sich nicht allein aus dem Wortlaut, sondern kann sich auch aus anderen Elementen ergeben wie aus dem verfolgten Ziel, der Interessenlage der Parteien oder aus den Gesamtumständen; von einem klaren Vertragswortlaut ist jedoch nur abzuweichen, wenn sich ernsthafte Anhaltspunkte dafür ergeben, dass dieser nicht dem Willen der Parteien entspricht ( BGE 137 III 444 E. 4.2.4 S. 451 f.; 136 III 186 E. 3.2.1 S. 188; 135 III 295 E. 5.2 S. 301 f.).</w:t>
      </w:r>
    </w:p>
    <w:p>
      <w:r>
        <w:rPr>
          <w:b/>
        </w:rPr>
        <w:t>E. 2.3</w:t>
      </w:r>
    </w:p>
    <w:p>
      <w:r>
        <w:t>Was die Parteien beim Vertragsabschluss gewusst, gewollt oder tatsächlich verstanden haben, ist</w:t>
      </w:r>
    </w:p>
    <w:p>
      <w:r>
        <w:t>Tatfrage ( BGE 133 III 675 E. 3.3 S. 681; 131 III 606 E. 4.1 S. 611); die tatsächliche Ermittlung dieses subjektiven Parteiwillens (</w:t>
      </w:r>
    </w:p>
    <w:p>
      <w:r>
        <w:t>subjektive Vertragsauslegung) beruht auf Beweiswürdigung, die der bundesgerichtlichen Überprüfung nur in den Schranken von Art. 105 BGG zugänglich ist ( BGE 133 III 675 E. 3.3 S. 681; 132 III 626 E. 3.1 S. 632; 126 II 171 E. 4c/bb S. 182). Die</w:t>
      </w:r>
    </w:p>
    <w:p>
      <w:r>
        <w:t>objektive Vertragsauslegung nach dem Vertrauensgrundsatz ist demgegenüber</w:t>
      </w:r>
    </w:p>
    <w:p>
      <w:r>
        <w:t>Rechtsfrage , die vom Bundesgericht bei bundesrechtlichen Verträgen frei ( BGE 136 III 186 E. 3.2.1 S. 188; 133 III 675 E. 3.3 S. 181; 132 III 626 E. 3.1 S. 632), bei kantonalrechtlichen Verträgen aber grundsätzlich nur auf Willkür hin überprüft wird ( Art. 95 BGG ; BGE 122 I 328 E. 1a/bb S. 331 f. und E. 3a S. 333; 103 Ia 505 E. 1 S. 509; Urteile 2C_815/2012 vom 24. Juni 2013 E. 2.3; 2C_258/2011 vom 30. August 2012 E. 4.2). Auch bei der objektivierten Auslegung von Willenserklärungen ist das Bundesgericht allerdings an die Feststellungen des kantonalen Gerichts über die äusseren Umstände sowie das Wissen und Wollen der Beteiligten gebunden ( BGE 135 III 410 E. 3.2 S. 413; 133 III 61 E. 2.2.1 S. 67; 132 III 24 E. 4 S. 28).</w:t>
      </w:r>
    </w:p>
    <w:p>
      <w:r>
        <w:rPr>
          <w:b/>
        </w:rPr>
        <w:t>E. 3.1</w:t>
      </w:r>
    </w:p>
    <w:p>
      <w:r>
        <w:t>Die hier im Zentrum stehenden Art. 4.3 bzw. Art. 6 der Vereinbarung über die Kehrichtdeponie in den Steinbrüchen Attinghausen zwischen dem Zweckverband Uri für Kehrichtbeseitigung (heute: ZAKU AG) und der Einwohnergemeinde Attinghausen vom 12. März bzw. 1. April 1985 lauten wie folgt:</w:t>
      </w:r>
    </w:p>
    <w:p>
      <w:r>
        <w:t>"[...]</w:t>
      </w:r>
    </w:p>
    <w:p>
      <w:r>
        <w:t>Art. 4</w:t>
      </w:r>
    </w:p>
    <w:p>
      <w:r>
        <w:t>Materielle Forderungen der Gemeinde Attinghausen</w:t>
      </w:r>
    </w:p>
    <w:p>
      <w:r>
        <w:t>[...]</w:t>
      </w:r>
    </w:p>
    <w:p>
      <w:r>
        <w:t>4.3 Im Hinblick auf einen möglichen Steuerausfall erhält die Gemeinde Attinghausen eine Rückvergütung von 30% der von den Einwohnern von Attinghausen bezahlten Kehrichttaxe.</w:t>
      </w:r>
    </w:p>
    <w:p>
      <w:r>
        <w:t>[...]</w:t>
      </w:r>
    </w:p>
    <w:p>
      <w:r>
        <w:t>Art. 6</w:t>
      </w:r>
    </w:p>
    <w:p>
      <w:r>
        <w:t>Vertragsdauer, Änderungen</w:t>
      </w:r>
    </w:p>
    <w:p>
      <w:r>
        <w:t>6.1 Dieser Vertrag wird vorerst für die Dauer der ersten Etappe der Deponie abgeschlossen. Ausserordentliche Umstände vorbehalten, soll er auch für die weiteren Etappen sinngemäss weiter fortgesetzt werden.</w:t>
      </w:r>
    </w:p>
    <w:p>
      <w:r>
        <w:t>6.2</w:t>
      </w:r>
    </w:p>
    <w:p>
      <w:r>
        <w:t>Änderungen : Die Vertragspartner verpflichten sich zur rechtzeitigen Verständigung über Änderungen.</w:t>
      </w:r>
    </w:p>
    <w:p>
      <w:r>
        <w:t>[...]"</w:t>
      </w:r>
    </w:p>
    <w:p>
      <w:r>
        <w:t>Art. 4.3 wurde am 17. Juni 1992 einvernehmlich und unbestrittenermassen insofern angepasst, als neu die von der Gemeinde Attinghausen im Jahre 1991 bezahlte Kehrichttaxe als Basis für die Rückvergütung von 30 % zu nehmen war; zusätzlich wurde eine jährliche Indexierung ab 1992 eingefügt.</w:t>
      </w:r>
    </w:p>
    <w:p>
      <w:r>
        <w:rPr>
          <w:b/>
        </w:rPr>
        <w:t>E. 3.2</w:t>
      </w:r>
    </w:p>
    <w:p>
      <w:r>
        <w:t>Einigkeit zwischen den Verfahrensbeteiligten besteht darüber, dass die erste Etappe der Deponie im Sinne von Art. 6.1 der Vereinbarung im Jahr 2006 abgeschlossen worden ist. Umstritten ist dagegen die Frage, ob die Vereinbarung über das Jahr 2006 hinaus Geltung hat und damit die Beschwerdeführerin weiterhin, also auch für die weiteren Etappen der Deponie, verpflichtet ist, der Einwohnergemeinde Attinghausen eine Abgeltung für einen möglichen Steuerausfall zu bezahlen.</w:t>
      </w:r>
    </w:p>
    <w:p>
      <w:r>
        <w:rPr>
          <w:b/>
        </w:rPr>
        <w:t>E. 3.3</w:t>
      </w:r>
    </w:p>
    <w:p>
      <w:r>
        <w:t>Die Vorinstanz hat dazu zunächst ausgeführt, der Auslegungsstreit sei anhand des wirklichen Parteiwillens zu lösen, soweit dieser bestimmt werden könne. Bei der Ermittlung des wirklichen Willens sei primär auf den Wortlaut abzustellen; wenn die übrigen Auslegungsmittel nicht sicher einen anderen Schluss erlaubten, habe es beim Wortlaut sein Bewenden (vgl. angefochtener Entscheid E. 4b). Sodann hat die Vorinstanz festgehalten, der vorliegende Vertrag sei seinem Wesen und Inhalt nach von vorneherein auf die Dauer aller Deponieetappen angelegt. Nach Abschluss der ersten Deponieetappe bedürfe es für die weiteren Etappen nicht neu abgeschlossener Verträge. Der Wechsel des Deponiekonzeptes (Wechsel von der Reaktor- zur Schlackendeponie) könne sodann nicht als ausserordentlicher Umstand im Sinne von Art. 6.1 der Vereinbarung gewertet werden. Schliesslich spreche Art. 4.3 der Vereinbarung nur von einem möglichen Steuerausfall; die vorgesehene Rückvergütung sei somit nicht abhängig von einem tatsächlichen Steuerausfall (vgl. angefochtener Entscheid E. 6). Daraus folgerte die Vorinstanz, dass sich die Klage insgesamt als begründet erweise und gutzuheissen sei (vgl. angefochtener Entscheid E. 7).</w:t>
      </w:r>
    </w:p>
    <w:p>
      <w:r>
        <w:rPr>
          <w:b/>
        </w:rPr>
        <w:t>E. 3.4</w:t>
      </w:r>
    </w:p>
    <w:p>
      <w:r>
        <w:t>Zwar ist nicht völlig klar, ob die Vorinstanz ihren Schluss, die Vereinbarung habe auch über das Jahr 2006 hinaus Geltung, ausschliesslich als effektiven empirischen Parteiwillen (subjektive Auslegung) oder allenfalls sinngemäss auch als Ergebnis einer Auslegung nach Vertrauensauslegung (objektive Auslegung) versteht. Dementsprechend ist auch bei den Sachverhaltsrügen der Beschwerdeführerin nicht immer klar, ob sie sich auf die Feststellung eines empirischen Parteiwillens oder auf die sachverhaltlichen Grundlagen der Auslegung nach Vertrauensprinzip beziehen.</w:t>
      </w:r>
    </w:p>
    <w:p>
      <w:r>
        <w:t>Die Beschwerdeführerin selber geht davon aus, die Vorinstanz habe im angefochtenen Entscheid auf einen übereinstimmenden tatsächlichen Parteiwillen (subjektive Auslegung) geschlossen. Dieser Einschätzung kann sich das Bundesgericht anschliessen, fehlt doch im angefochtenen Entscheid eine konkrete Auseinandersetzung mit der Frage, wie die umstrittenen Bestimmungen der Vereinbarung nach dem Vertrauensprinzip auszulegen wären. Vielmehr geht die Vorinstanz in E. 6 des angefochtenen Entscheids sinngemäss davon aus, es liege ein übereinstimmender tatsächlicher Parteiwille über die Dauer der Vereinbarung vor.</w:t>
      </w:r>
    </w:p>
    <w:p>
      <w:r>
        <w:t>Wird aber die Auffassung der Vorinstanz, die Vereinbarung gelte auch über das Jahr 2006 hinaus weiter bzw. die Entschädigung für einen möglichen Steuerausfall sei auch nach 2006 geschuldet, als Ergebnis der subjektiven Auslegung verstanden, so hat dies hier zur Folge, dass sie für das Bundesgericht verbindlich ist, wenn sie nicht offensichtlich unrichtig ist (vgl. E. 2.3 hiervor). Solange dies nicht dargetan ist, steht damit aufgrund des Vorrangs der subjektiven gegenüber der objektiven Auslegung (vgl. E. 2.1 hiervor) fest, dass ein übereinstimmender Parteiwille über die Dauer der Vereinbarung bestand und damit auch die eingeklagte Entschädigungspflicht der Beschwerdeführerin weiterhin besteht.</w:t>
      </w:r>
    </w:p>
    <w:p>
      <w:r>
        <w:rPr>
          <w:b/>
        </w:rPr>
        <w:t>E. 3.5</w:t>
      </w:r>
    </w:p>
    <w:p>
      <w:r>
        <w:t>Die von der Beschwerdeführerin erhobenen Sachverhaltsrügen erfüllen die Voraussetzung von Art. 97 Abs. 1 BGG nicht (vgl. E. 1.3 hiervor) : So führt sie bloss aus, der Sachverhalt im angefochtenen Entscheid sei grundsätzlich richtig wiedergegeben, doch seien noch weitere Elemente relevant. Soweit sie diesbezüglich auf die Änderung der Deponiekonzeption bzw. die planungsrechtlichen Grundlagen verweist, vermögen diese Rügen - sofern sie sich ohnehin nicht als unzulässige Noven im Sinne von Art. 99 BGG erweisen - nicht aufzuzeigen, inwiefern der Sachverhalt offensichtlich unrichtig sein oder auf einer Rechtsverletzung im Sinne von Art. 95 BGG beruhen soll. Insbesondere widerlegt der Umstand, dass heute über die Auslegung Streit besteht, nicht einen übereinstimmenden subjektiven Parteiwillen im massgebenden Zeitpunkt des Vertragsschlusses. Damit ist im Ergebnis der Schluss der Vorinstanz, dass ein übereinstimmender Parteiwille über die Dauer der Vereinbarung bestand und damit die eingeklagte Entschädigungspflicht der Beschwerdeführerin weiterhin besteht, aufgrund des verbindlich festgestellten Sachverhalts nicht zu beanstanden.</w:t>
      </w:r>
    </w:p>
    <w:p>
      <w:r>
        <w:rPr>
          <w:b/>
        </w:rPr>
        <w:t>E. 3.6</w:t>
      </w:r>
    </w:p>
    <w:p>
      <w:r>
        <w:t>Selbst wenn zu Gunsten der Beschwerdeführerin angenommen würde, dass hinsichtlich der Geltungsdauer der Vereinbarung kein übereinstimmender effektiver Parteiwille bestand, könnte die Beschwerdeführerin im Ergebnis daraus nichts zu ihren Gunsten ableiten: Zwar wäre in diesem Fall die streitige Konzessionsbestimmung nach dem Vertrauensprinzip auszulegen. Da es sich um einen kantonalrechtlichen Vertrag handelt, würde aber keine freie Prüfung, sondern nur eine Willkürprüfung durch das Bundesgericht vorgenommen (vgl. E. 2.3 hiervor). Unter dem beschränkten Gesichtspunkt der Willkür lässt sich der angefochtene Entscheid jedoch nicht beanstanden. Insofern zielen die ausführlichen Darlegungen der Beschwerdeführerin zur Auslegung nach dem Vertrauensprinzip an der Sache vorbei.</w:t>
      </w:r>
    </w:p>
    <w:p>
      <w:r>
        <w:rPr>
          <w:b/>
        </w:rPr>
        <w:t>E. 3.7</w:t>
      </w:r>
    </w:p>
    <w:p>
      <w:r>
        <w:t>Auch die weiteren Rügen vermögen der qualifizierten Begründungspflicht von Art. 106 Abs. 2 BGG (vgl. BGE 136 I 229 E. 4.1 S. 235 mit Hinweisen) nicht zu genügen: Diese setzt voraus, dass die beschwerdeführende Person in ihrer Eingabe dartut, welche verfassungsmässigen Rechte durch den angefochtenen Akt inwiefern verletzt worden sein sollen. Das Bundesgericht untersucht nicht von Amtes wegen, ob der angefochtene kantonale Entscheid verfassungsmässig ist, sondern prüft diesbezüglich nur rechtsgenügend vorgebrachte, klar erhobene und, soweit möglich, belegte Rügen. Die Beschwerdeführerin rügt hier jedoch bloss, die Vorinstanz habe die Vereinbarung falsch ausgelegt, womit ein Verstoss gegen den Grundsatz von Treu und Glauben und gegen das Willkürverbot vorliege. Damit erhebt die Beschwerdeführerin jedoch keine rechtsgenügend begründeten Rügen, weshalb nicht näher darauf einzugehen ist.</w:t>
      </w:r>
    </w:p>
    <w:p>
      <w:r>
        <w:rPr>
          <w:b/>
        </w:rPr>
        <w:t>E. 4</w:t>
      </w:r>
    </w:p>
    <w:p>
      <w:r>
        <w:t>Daraus folgt, dass die Beschwerde abzuweisen ist.</w:t>
      </w:r>
    </w:p>
    <w:p>
      <w:r>
        <w:t>Bei diesem Ausgang des Verfahrens trägt die Beschwerdeführerin die Kosten des bundesgerichtlichen Verfahrens, da sie mit ihrer Beschwerde Vermögensinteressen geltend gemacht hat ( Art. 66 Abs. 1 und 4 BGG ). Die obsiegende Beschwerdegegnerin hat keinen Anspruch auf Parteientschädigung, da sie entgegen ihrer Auffassung in der vorliegenden Streitsache öffentlich-rechtliche Aufgaben wahrnimmt ( Art. 68 Abs. 3 BGG ; BGE 134 II 117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