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2C_1054/2020 vom 21. Dezember 2020</w:t>
      </w:r>
    </w:p>
    <w:p>
      <w:r>
        <w:t>Bundesgericht, 2020-12-21, FR</w:t>
      </w:r>
    </w:p>
    <w:p>
      <w:r>
        <w:rPr>
          <w:b/>
        </w:rPr>
        <w:t xml:space="preserve">Quelle: </w:t>
      </w:r>
      <w:r>
        <w:t>https://mcp.opencaselaw.ch/entscheid/bger_2C_1054_2020</w:t>
      </w:r>
    </w:p>
    <w:p>
      <w:r>
        <w:t>FR: TF 2C_1054/2020 du 21 décembre 2020</w:t>
      </w:r>
    </w:p>
    <w:p>
      <w:r>
        <w:t>IT: TF 2C_1054/2020 del 21 dicembre 2020</w:t>
      </w:r>
    </w:p>
    <w:p>
      <w:pPr>
        <w:pStyle w:val="Heading2"/>
      </w:pPr>
      <w:r>
        <w:t>Erwägungen</w:t>
      </w:r>
    </w:p>
    <w:p>
      <w:r>
        <w:rPr>
          <w:b/>
        </w:rPr>
        <w:t>E. 1</w:t>
      </w:r>
    </w:p>
    <w:p>
      <w:r>
        <w:t>Par arrêt du 18 novembre 2020, le Tribunal cantonal du canton de Vaud a rejeté le recours que A.________, ressortissant du Kosovo, avait déposé contre la décision du Service cantonal de la population du canton de Vaud du 20 mai 2020 déclarant irrecevable, subsidiairement rejetant sa demande de reconsidération du 11 février 2020 de la décision lui refusant la délivrance d'une autorisation pour cas de rigueur et lui impartissant un délai au 30 juin 2020 pour quitter la Suisse.</w:t>
      </w:r>
    </w:p>
    <w:p>
      <w:r>
        <w:rPr>
          <w:b/>
        </w:rPr>
        <w:t>E. 2</w:t>
      </w:r>
    </w:p>
    <w:p>
      <w:r>
        <w:t>Par mémoire intitulé "recours de droit administratif", A.________ demande au Tribunal fédéral de lui octroyer un permis de séjour. Il invoque les art. 30 al. 1 let. b LEI , 9 Cst. et 8 CEDH. Il demande l'effet suspensif.</w:t>
      </w:r>
    </w:p>
    <w:p>
      <w:r>
        <w:rPr>
          <w:b/>
        </w:rPr>
        <w:t>E. 3</w:t>
      </w:r>
    </w:p>
    <w:p>
      <w:r>
        <w:t>Le recourant a déposé un recours de droit administratif. Cette fausse dénomination est sans incidence. La recevabilité en tant que recours en matière de droit public doit être examinée.</w:t>
      </w:r>
    </w:p>
    <w:p>
      <w:r>
        <w:rPr>
          <w:b/>
        </w:rPr>
        <w:t>E. 3.1</w:t>
      </w:r>
    </w:p>
    <w:p>
      <w:r>
        <w:t>Selon l' art. 83 let . c ch. 2 et 4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celles qui concernent les dérogations aux conditions d'admission, parmi lesquelles figurent les cas de rigueur en cause en l'espèce ( art. 30 al. 1 let. b LEI ).</w:t>
      </w:r>
    </w:p>
    <w:p>
      <w:r>
        <w:rPr>
          <w:b/>
        </w:rPr>
        <w:t>E. 3.2</w:t>
      </w:r>
    </w:p>
    <w:p>
      <w:r>
        <w:t>En l'espèce, il ressort des faits de l'arrêt attaqué que le recourant a séjourné légalement en Suisse moins de dix ans. A cela s'ajoute que l'instance précédente a constaté, sans être contredite par une motivation conforme aux exigences de l' art. 97 al. 1 LTF , que ce dernier ne pouvait pas se prévaloir d'une forte intégration en Suisse. Dans ces circonstances, le recourant ne peut invoquer de manière soutenable la protection de la vie privée garantie par l' art. 8 CEDH pour s'opposer au refus d'octroi d'une autorisation de séjour en Suisse (cf. ATF 144 I 266 consid. 3). Il s'ensuit que le recours en matière de droit public est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 recourant, qui ne peut se prévaloir de l' art. 8 CEDH (cf. consid. 3.2 ci-dessus) ni de l' art. 30 al. 1 let. b LEI , au vu de sa formulation potestative, ni invoquer de manière indépendante l'interdiction de l'arbitraire,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ne formule aucun grief relatif à la violation d'un droit constitutionnel formel.</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